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5954"/>
        <w:gridCol w:w="425"/>
        <w:gridCol w:w="3119"/>
        <w:gridCol w:w="1548"/>
      </w:tblGrid>
      <w:tr w:rsidR="00935744" w:rsidRPr="00935744" w:rsidTr="005D0473">
        <w:trPr>
          <w:gridAfter w:val="1"/>
          <w:wAfter w:w="1548" w:type="dxa"/>
          <w:trHeight w:val="3935"/>
        </w:trPr>
        <w:tc>
          <w:tcPr>
            <w:tcW w:w="6062" w:type="dxa"/>
            <w:gridSpan w:val="2"/>
          </w:tcPr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Национальный 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исследовательский университет 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«Высшая школа экономики»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:rsidR="00935744" w:rsidRPr="00935744" w:rsidRDefault="00935744" w:rsidP="009357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63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УТВЕРЖДЕНО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педагогическим советом 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Cs/>
                <w:sz w:val="26"/>
                <w:szCs w:val="26"/>
              </w:rPr>
              <w:t>Лицея НИУ ВШЭ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7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 № 13 от 21.06.2024 </w:t>
            </w: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5744" w:rsidRPr="00935744" w:rsidRDefault="00935744" w:rsidP="00935744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5744" w:rsidRPr="001756C9" w:rsidTr="005D0473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:rsidR="00935744" w:rsidRDefault="00935744" w:rsidP="005D0473">
            <w:pPr>
              <w:rPr>
                <w:sz w:val="26"/>
                <w:szCs w:val="26"/>
              </w:rPr>
            </w:pPr>
          </w:p>
          <w:p w:rsidR="00935744" w:rsidRDefault="00935744" w:rsidP="005D0473">
            <w:pPr>
              <w:rPr>
                <w:sz w:val="26"/>
                <w:szCs w:val="26"/>
              </w:rPr>
            </w:pPr>
          </w:p>
          <w:p w:rsidR="00935744" w:rsidRDefault="00935744" w:rsidP="005D0473">
            <w:pPr>
              <w:rPr>
                <w:sz w:val="26"/>
                <w:szCs w:val="26"/>
              </w:rPr>
            </w:pPr>
          </w:p>
          <w:p w:rsidR="00935744" w:rsidRPr="00976291" w:rsidRDefault="00935744" w:rsidP="005D0473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2"/>
          </w:tcPr>
          <w:p w:rsidR="00935744" w:rsidRPr="001756C9" w:rsidRDefault="00935744" w:rsidP="005D0473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935744" w:rsidRPr="003E782C" w:rsidRDefault="00935744" w:rsidP="0093574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782C">
        <w:rPr>
          <w:rFonts w:ascii="Times New Roman" w:hAnsi="Times New Roman" w:cs="Times New Roman"/>
          <w:bCs/>
          <w:sz w:val="26"/>
          <w:szCs w:val="26"/>
        </w:rPr>
        <w:t>Рабочая программа учебного предмета (курса)</w:t>
      </w:r>
    </w:p>
    <w:p w:rsidR="00935744" w:rsidRPr="003E782C" w:rsidRDefault="00935744" w:rsidP="0093574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782C">
        <w:rPr>
          <w:rFonts w:ascii="Times New Roman" w:hAnsi="Times New Roman" w:cs="Times New Roman"/>
          <w:bCs/>
          <w:sz w:val="26"/>
          <w:szCs w:val="26"/>
        </w:rPr>
        <w:t>«Второй иностранный язык (японский)»</w:t>
      </w:r>
    </w:p>
    <w:p w:rsidR="00935744" w:rsidRPr="003E782C" w:rsidRDefault="00935744" w:rsidP="009357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782C">
        <w:rPr>
          <w:rFonts w:ascii="Times New Roman" w:hAnsi="Times New Roman" w:cs="Times New Roman"/>
          <w:bCs/>
          <w:sz w:val="26"/>
          <w:szCs w:val="26"/>
        </w:rPr>
        <w:t>(углублённый уровень)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5744">
        <w:rPr>
          <w:rFonts w:ascii="Times New Roman" w:hAnsi="Times New Roman" w:cs="Times New Roman"/>
          <w:bCs/>
          <w:sz w:val="26"/>
          <w:szCs w:val="26"/>
        </w:rPr>
        <w:t>(для продолжающих)</w:t>
      </w:r>
    </w:p>
    <w:p w:rsidR="00935744" w:rsidRPr="003E782C" w:rsidRDefault="00935744" w:rsidP="00935744">
      <w:pPr>
        <w:pStyle w:val="ConsPlusNormal"/>
        <w:jc w:val="center"/>
        <w:rPr>
          <w:rFonts w:ascii="Times New Roman" w:hAnsi="Times New Roman" w:cs="Times New Roman"/>
        </w:rPr>
      </w:pPr>
      <w:r w:rsidRPr="003E782C">
        <w:rPr>
          <w:rFonts w:ascii="Times New Roman" w:hAnsi="Times New Roman" w:cs="Times New Roman"/>
          <w:sz w:val="26"/>
          <w:szCs w:val="26"/>
        </w:rPr>
        <w:t>10-11 класс</w:t>
      </w:r>
    </w:p>
    <w:p w:rsidR="00935744" w:rsidRPr="003E782C" w:rsidRDefault="00935744" w:rsidP="0093574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12E1E" w:rsidRPr="00F21B7A" w:rsidRDefault="00612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 w:rsidP="00246F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5744" w:rsidRDefault="00935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5744" w:rsidRDefault="00935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5744" w:rsidRPr="00F21B7A" w:rsidRDefault="00935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2E1E" w:rsidRPr="00935744" w:rsidRDefault="00612E1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35744">
        <w:rPr>
          <w:rFonts w:ascii="Times New Roman" w:hAnsi="Times New Roman" w:cs="Times New Roman"/>
          <w:bCs/>
          <w:sz w:val="26"/>
          <w:szCs w:val="26"/>
        </w:rPr>
        <w:t>Автор</w:t>
      </w:r>
      <w:r w:rsidR="00935744" w:rsidRPr="00935744">
        <w:rPr>
          <w:rFonts w:ascii="Times New Roman" w:hAnsi="Times New Roman" w:cs="Times New Roman"/>
          <w:bCs/>
          <w:sz w:val="26"/>
          <w:szCs w:val="26"/>
        </w:rPr>
        <w:t>ы</w:t>
      </w:r>
      <w:r w:rsidRPr="00935744">
        <w:rPr>
          <w:rFonts w:ascii="Times New Roman" w:hAnsi="Times New Roman" w:cs="Times New Roman"/>
          <w:bCs/>
          <w:sz w:val="26"/>
          <w:szCs w:val="26"/>
        </w:rPr>
        <w:t>:</w:t>
      </w:r>
      <w:r w:rsidRPr="009357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744" w:rsidRDefault="00612E1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935744">
        <w:rPr>
          <w:rFonts w:ascii="Times New Roman" w:hAnsi="Times New Roman" w:cs="Times New Roman"/>
          <w:sz w:val="26"/>
          <w:szCs w:val="26"/>
          <w:u w:val="single"/>
        </w:rPr>
        <w:t>Джайн</w:t>
      </w:r>
      <w:proofErr w:type="spellEnd"/>
      <w:r w:rsidRPr="00935744">
        <w:rPr>
          <w:rFonts w:ascii="Times New Roman" w:hAnsi="Times New Roman" w:cs="Times New Roman"/>
          <w:sz w:val="26"/>
          <w:szCs w:val="26"/>
          <w:u w:val="single"/>
        </w:rPr>
        <w:t xml:space="preserve"> Р.А., </w:t>
      </w:r>
    </w:p>
    <w:p w:rsidR="00612E1E" w:rsidRPr="00935744" w:rsidRDefault="00612E1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935744">
        <w:rPr>
          <w:rFonts w:ascii="Times New Roman" w:hAnsi="Times New Roman" w:cs="Times New Roman"/>
          <w:sz w:val="26"/>
          <w:szCs w:val="26"/>
          <w:u w:val="single"/>
        </w:rPr>
        <w:t>Брюхова</w:t>
      </w:r>
      <w:proofErr w:type="spellEnd"/>
      <w:r w:rsidRPr="00935744">
        <w:rPr>
          <w:rFonts w:ascii="Times New Roman" w:hAnsi="Times New Roman" w:cs="Times New Roman"/>
          <w:sz w:val="26"/>
          <w:szCs w:val="26"/>
          <w:u w:val="single"/>
        </w:rPr>
        <w:t xml:space="preserve"> Е.И.</w:t>
      </w:r>
    </w:p>
    <w:p w:rsidR="00612E1E" w:rsidRPr="00F21B7A" w:rsidRDefault="00612E1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12E1E" w:rsidRPr="00F21B7A" w:rsidRDefault="00612E1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2E1E" w:rsidRDefault="00612E1E" w:rsidP="00246FFE">
      <w:pPr>
        <w:pStyle w:val="ConsPlusNormal"/>
        <w:ind w:right="5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44" w:rsidRDefault="00935744" w:rsidP="00246FFE">
      <w:pPr>
        <w:pStyle w:val="ConsPlusNormal"/>
        <w:ind w:right="5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44" w:rsidRDefault="00935744" w:rsidP="00246FFE">
      <w:pPr>
        <w:pStyle w:val="ConsPlusNormal"/>
        <w:ind w:right="5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44" w:rsidRDefault="00935744" w:rsidP="00246FFE">
      <w:pPr>
        <w:pStyle w:val="ConsPlusNormal"/>
        <w:ind w:right="5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44" w:rsidRDefault="00935744" w:rsidP="00246FFE">
      <w:pPr>
        <w:pStyle w:val="ConsPlusNormal"/>
        <w:ind w:right="5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44" w:rsidRDefault="00935744" w:rsidP="00246FFE">
      <w:pPr>
        <w:pStyle w:val="ConsPlusNormal"/>
        <w:ind w:right="56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 w:rsidP="00AA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2E1E" w:rsidRDefault="00612E1E" w:rsidP="00935744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935744" w:rsidRPr="00F21B7A" w:rsidRDefault="00935744" w:rsidP="00935744">
      <w:pPr>
        <w:pStyle w:val="ConsPlusNormal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E1E" w:rsidRPr="00F21B7A" w:rsidRDefault="00612E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F21B7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21B7A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предмета.</w:t>
      </w:r>
    </w:p>
    <w:p w:rsidR="00612E1E" w:rsidRPr="00F21B7A" w:rsidRDefault="00612E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Pr="00F21B7A">
        <w:rPr>
          <w:rFonts w:ascii="Times New Roman" w:hAnsi="Times New Roman" w:cs="Times New Roman"/>
          <w:b/>
          <w:bCs/>
          <w:sz w:val="28"/>
          <w:szCs w:val="28"/>
        </w:rPr>
        <w:t>Второй иностранный язык (японский)</w:t>
      </w:r>
      <w:r w:rsidRPr="00F21B7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612E1E" w:rsidRPr="00F21B7A" w:rsidRDefault="00612E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:rsidR="00AA77BF" w:rsidRPr="00F21B7A" w:rsidRDefault="00AA7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msonormalcxspmiddle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F21B7A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12E1E" w:rsidRPr="00F21B7A" w:rsidRDefault="00612E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12E1E" w:rsidRPr="00F21B7A" w:rsidRDefault="00612E1E">
      <w:pPr>
        <w:pStyle w:val="msonormalcxspmiddle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F21B7A">
        <w:rPr>
          <w:sz w:val="28"/>
          <w:szCs w:val="28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12E1E" w:rsidRPr="00F21B7A" w:rsidRDefault="00612E1E">
      <w:pPr>
        <w:pStyle w:val="msonormalcxspmiddle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F21B7A">
        <w:rPr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вере; готовности и способности вести диалог с другими людьми и достигать в нем взаимопонимания; </w:t>
      </w:r>
    </w:p>
    <w:p w:rsidR="00612E1E" w:rsidRPr="00F21B7A" w:rsidRDefault="00612E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612E1E" w:rsidRPr="00F21B7A" w:rsidRDefault="00612E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AA77BF" w:rsidRPr="00F21B7A" w:rsidRDefault="00AA77B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E1E" w:rsidRPr="00F21B7A">
        <w:rPr>
          <w:rFonts w:ascii="Times New Roman" w:hAnsi="Times New Roman" w:cs="Times New Roman"/>
          <w:sz w:val="28"/>
          <w:szCs w:val="28"/>
        </w:rPr>
        <w:t>ыявление признаков и свойств языковых единиц и языковых явлений японского языка; применение изученн</w:t>
      </w:r>
      <w:r w:rsidR="00AA77BF">
        <w:rPr>
          <w:rFonts w:ascii="Times New Roman" w:hAnsi="Times New Roman" w:cs="Times New Roman"/>
          <w:sz w:val="28"/>
          <w:szCs w:val="28"/>
        </w:rPr>
        <w:t>ых правил, алгоритмов;</w:t>
      </w: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E1E" w:rsidRPr="00F21B7A">
        <w:rPr>
          <w:rFonts w:ascii="Times New Roman" w:hAnsi="Times New Roman" w:cs="Times New Roman"/>
          <w:sz w:val="28"/>
          <w:szCs w:val="28"/>
        </w:rPr>
        <w:t>нализ, пр</w:t>
      </w:r>
      <w:r w:rsidR="00F21B7A" w:rsidRPr="008B5B2E">
        <w:rPr>
          <w:rFonts w:ascii="Times New Roman" w:eastAsia="Yu Mincho" w:hAnsi="Times New Roman" w:cs="Times New Roman"/>
          <w:sz w:val="28"/>
          <w:szCs w:val="28"/>
          <w:lang w:eastAsia="ja-JP"/>
        </w:rPr>
        <w:t>о</w:t>
      </w:r>
      <w:r w:rsidR="00612E1E" w:rsidRPr="00F21B7A">
        <w:rPr>
          <w:rFonts w:ascii="Times New Roman" w:hAnsi="Times New Roman" w:cs="Times New Roman"/>
          <w:sz w:val="28"/>
          <w:szCs w:val="28"/>
        </w:rPr>
        <w:t>ведение аналогий между способами выражения мысли средствами родного и японского языков</w:t>
      </w:r>
      <w:r w:rsidR="00AA77BF">
        <w:rPr>
          <w:rFonts w:ascii="Times New Roman" w:hAnsi="Times New Roman" w:cs="Times New Roman"/>
          <w:sz w:val="28"/>
          <w:szCs w:val="28"/>
        </w:rPr>
        <w:t>;</w:t>
      </w: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2E1E" w:rsidRPr="00F21B7A">
        <w:rPr>
          <w:rFonts w:ascii="Times New Roman" w:hAnsi="Times New Roman" w:cs="Times New Roman"/>
          <w:sz w:val="28"/>
          <w:szCs w:val="28"/>
        </w:rPr>
        <w:t>равнение, упорядочивание, классифи</w:t>
      </w:r>
      <w:r w:rsidR="00F21B7A">
        <w:rPr>
          <w:rFonts w:ascii="Times New Roman" w:hAnsi="Times New Roman" w:cs="Times New Roman"/>
          <w:sz w:val="28"/>
          <w:szCs w:val="28"/>
        </w:rPr>
        <w:t>ка</w:t>
      </w:r>
      <w:r w:rsidR="00612E1E" w:rsidRPr="00F21B7A">
        <w:rPr>
          <w:rFonts w:ascii="Times New Roman" w:hAnsi="Times New Roman" w:cs="Times New Roman"/>
          <w:sz w:val="28"/>
          <w:szCs w:val="28"/>
        </w:rPr>
        <w:t>ция языковых единиц и языковых явлений японского я</w:t>
      </w:r>
      <w:r w:rsidR="00AA77BF">
        <w:rPr>
          <w:rFonts w:ascii="Times New Roman" w:hAnsi="Times New Roman" w:cs="Times New Roman"/>
          <w:sz w:val="28"/>
          <w:szCs w:val="28"/>
        </w:rPr>
        <w:t>зыка, разных типов высказывания;</w:t>
      </w: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2E1E" w:rsidRPr="00F21B7A">
        <w:rPr>
          <w:rFonts w:ascii="Times New Roman" w:hAnsi="Times New Roman" w:cs="Times New Roman"/>
          <w:sz w:val="28"/>
          <w:szCs w:val="28"/>
        </w:rPr>
        <w:t xml:space="preserve">спользование в соответствии с коммуникативной задачей различные стратегии чтения и аудирования для получения информации (с </w:t>
      </w:r>
      <w:r w:rsidR="00612E1E" w:rsidRPr="00F21B7A">
        <w:rPr>
          <w:rFonts w:ascii="Times New Roman" w:hAnsi="Times New Roman" w:cs="Times New Roman"/>
          <w:sz w:val="28"/>
          <w:szCs w:val="28"/>
        </w:rPr>
        <w:lastRenderedPageBreak/>
        <w:t>пониманием основного содержания, с пониманием запрашиваемой и</w:t>
      </w:r>
      <w:r w:rsidR="00AA77BF">
        <w:rPr>
          <w:rFonts w:ascii="Times New Roman" w:hAnsi="Times New Roman" w:cs="Times New Roman"/>
          <w:sz w:val="28"/>
          <w:szCs w:val="28"/>
        </w:rPr>
        <w:t>нформации, с полным пониманием);</w:t>
      </w:r>
    </w:p>
    <w:p w:rsidR="00612E1E" w:rsidRPr="00F21B7A" w:rsidRDefault="00246FFE" w:rsidP="00AA77B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2E1E" w:rsidRPr="00F21B7A">
        <w:rPr>
          <w:rFonts w:ascii="Times New Roman" w:hAnsi="Times New Roman" w:cs="Times New Roman"/>
          <w:sz w:val="28"/>
          <w:szCs w:val="28"/>
        </w:rPr>
        <w:t xml:space="preserve">спользование информации, извлеченную из </w:t>
      </w:r>
      <w:proofErr w:type="spellStart"/>
      <w:r w:rsidR="00612E1E" w:rsidRPr="00F21B7A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612E1E" w:rsidRPr="00F21B7A">
        <w:rPr>
          <w:rFonts w:ascii="Times New Roman" w:hAnsi="Times New Roman" w:cs="Times New Roman"/>
          <w:sz w:val="28"/>
          <w:szCs w:val="28"/>
        </w:rPr>
        <w:t xml:space="preserve"> текстов (таблицы, диаграммы), в собственных устных и письменных высказываниях на японском языке;</w:t>
      </w:r>
    </w:p>
    <w:p w:rsidR="00612E1E" w:rsidRPr="00F21B7A" w:rsidRDefault="00612E1E" w:rsidP="00AA77B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12E1E" w:rsidRPr="00F21B7A" w:rsidRDefault="00612E1E" w:rsidP="00AA77B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:rsidR="00AA77BF" w:rsidRPr="00F21B7A" w:rsidRDefault="00AA77BF">
      <w:pPr>
        <w:pStyle w:val="ConsPlusNormal"/>
        <w:jc w:val="both"/>
        <w:rPr>
          <w:rFonts w:ascii="Times New Roman" w:hAnsi="Times New Roman" w:cs="Times New Roman"/>
          <w:color w:val="464C55"/>
          <w:sz w:val="28"/>
          <w:szCs w:val="28"/>
        </w:rPr>
      </w:pPr>
    </w:p>
    <w:p w:rsidR="00612E1E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C74CE4" w:rsidRPr="00F21B7A" w:rsidRDefault="00C74CE4" w:rsidP="00C74CE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иноязычной коммуникативной компетенции; расширение и систематизацию знаний о японском языке, расширение лингвистического кругозора и лексического запаса, дальнейшее овладение общей речевой культурой; </w:t>
      </w:r>
    </w:p>
    <w:p w:rsidR="00C74CE4" w:rsidRPr="00F21B7A" w:rsidRDefault="00C74CE4" w:rsidP="00C7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компетенции;</w:t>
      </w:r>
    </w:p>
    <w:p w:rsidR="00C74CE4" w:rsidRPr="00F21B7A" w:rsidRDefault="00C74CE4" w:rsidP="00C7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создание основы для формирования интереса к совершенствованию достигнутого уровня владения японским языком, к использованию японского языка как средства получения информации, позволяющего расширять свои знания в других предметных областях. </w:t>
      </w:r>
    </w:p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  <w:lang w:val="en-US"/>
        </w:rPr>
        <w:t>II. Содержание</w:t>
      </w:r>
      <w:r w:rsidRPr="00F21B7A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612E1E" w:rsidRPr="00F21B7A" w:rsidRDefault="00612E1E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Японская письменность.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Хирагана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Катакана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. Японская фонетика. Иероглифы. Лексика. Словообразование. Личные местоимения. Указательные местоимения. Вопросительные местоимения. Имя существительное. Утвердительное и вопросительное предложения. Отрицание. Тематическая частица ВА. Контактоустанавливающая </w:t>
      </w:r>
      <w:r w:rsidRPr="00F21B7A">
        <w:rPr>
          <w:rFonts w:ascii="Times New Roman" w:hAnsi="Times New Roman" w:cs="Times New Roman"/>
          <w:sz w:val="28"/>
          <w:szCs w:val="28"/>
        </w:rPr>
        <w:lastRenderedPageBreak/>
        <w:t xml:space="preserve">частица НЭ. Показатель номинатива ГА. Показатель </w:t>
      </w:r>
      <w:proofErr w:type="gramStart"/>
      <w:r w:rsidRPr="00F21B7A">
        <w:rPr>
          <w:rFonts w:ascii="Times New Roman" w:hAnsi="Times New Roman" w:cs="Times New Roman"/>
          <w:sz w:val="28"/>
          <w:szCs w:val="28"/>
        </w:rPr>
        <w:t>генитива</w:t>
      </w:r>
      <w:proofErr w:type="gramEnd"/>
      <w:r w:rsidRPr="00F21B7A">
        <w:rPr>
          <w:rFonts w:ascii="Times New Roman" w:hAnsi="Times New Roman" w:cs="Times New Roman"/>
          <w:sz w:val="28"/>
          <w:szCs w:val="28"/>
        </w:rPr>
        <w:t xml:space="preserve"> НО. Соединительный союз ТО. Частица МО.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Имя прилагательное. Предикативные и непредикативные прилагательные. Прилагательное в функции определения и сказуемого. Отрицательная форма прилагательного. Срединные формы прилагательных. Наречие. Сочинительный союз ГА.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Глагол. Нейтрально-вежливая форма в речи.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-будущее, прошедшее время (утвердительные и отрицательные формы). 1 и 2 спряжение глаголов. Исключения. Основы глаголов. Показатель аккузатива О. Показатель датива НИ. Показатель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инструменталиса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ДЭ.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Количественные и порядковые числительные. Счетные суффиксы. Показатели КАРА и МАДЭ. Обозначение времени суток и промежутка времени. Атрибуты. Обозначение даты. Обозначение возраста.  Обозначение дня недели. </w:t>
      </w:r>
    </w:p>
    <w:p w:rsidR="00274C98" w:rsidRPr="00F21B7A" w:rsidRDefault="00274C98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Простые формы существительных и прилагательных. Глаголы мышления и говорения. Союз Я. Показатель одновременности НАГАРА.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Приглашение к совместному действию. Придаточные предложения со значением причины (-КАРА, -НОДЭ). 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Сравнение признаков. Степень признака. Глагол НАРУ. Глаголы нахождения АРУ и ИРУ. Отыменные послелоги. Обобщающие и отрицательные местоимения. Определительные придаточные предложения. 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Условно-временные придаточные предложения с союзом ТО, с формой на -ТАРА. Условный союз -НАРА. Условные формы на –БА. Придаточные предложения со значением времени. Придаточные предложения с союзами МАЭ и АТО, на -ТЭКАРА. Выражение степени уверенности.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Вспомогательные глаголы МИРУ, ОКУ, СИМАУ, СУГИРУ. 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Срединные формы глаголов. Повелительное наклонение. Выражение долженствования. Субстантивация. Двойной падеж. Выражение разрешения и запрета.  Длительный вид глагола.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Выражение желания, намерения, извинения, благодарности, просьбы, совета.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 Форма глагола на –ТАРИ. Союз СИ. Устойчивая грамматическая конструкция КОТО ГА АРУ.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Потенциалис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. Уступительные конструкции. </w:t>
      </w:r>
    </w:p>
    <w:p w:rsidR="00612E1E" w:rsidRPr="00F21B7A" w:rsidRDefault="00612E1E" w:rsidP="00C74CE4">
      <w:pPr>
        <w:pStyle w:val="ConsPlusNormal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Страдательный, побудительный, побудительно-страдательный залоги. </w:t>
      </w:r>
    </w:p>
    <w:p w:rsidR="00612E1E" w:rsidRPr="00C74CE4" w:rsidRDefault="00274C98" w:rsidP="00C74CE4">
      <w:pPr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r w:rsidR="00612E1E" w:rsidRPr="00F21B7A">
        <w:rPr>
          <w:rFonts w:ascii="Times New Roman" w:hAnsi="Times New Roman" w:cs="Times New Roman"/>
          <w:sz w:val="28"/>
          <w:szCs w:val="28"/>
        </w:rPr>
        <w:t>Вежливая речь: почтительно-вежливая, скромно-вежливая. Выражение вежливой просьбы.</w:t>
      </w:r>
    </w:p>
    <w:p w:rsidR="00C74CE4" w:rsidRPr="00C74CE4" w:rsidRDefault="00C74CE4" w:rsidP="00C74CE4">
      <w:pPr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CE4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hAnsi="Times New Roman" w:cs="Times New Roman"/>
          <w:sz w:val="28"/>
          <w:szCs w:val="28"/>
        </w:rPr>
        <w:t>-КОТОНИНАРУ</w:t>
      </w:r>
      <w:r w:rsidRPr="00C74C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cs"/>
          <w:sz w:val="28"/>
          <w:szCs w:val="28"/>
        </w:rPr>
        <w:t>-КОТОНИСУРУ</w:t>
      </w:r>
      <w:r w:rsidRPr="00C74C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cs"/>
          <w:sz w:val="28"/>
          <w:szCs w:val="28"/>
        </w:rPr>
        <w:t>-</w:t>
      </w:r>
      <w:proofErr w:type="gramStart"/>
      <w:r>
        <w:rPr>
          <w:rFonts w:ascii="Times New Roman" w:hAnsi="Times New Roman" w:cs="Times New Roman" w:hint="cs"/>
          <w:sz w:val="28"/>
          <w:szCs w:val="28"/>
        </w:rPr>
        <w:t>Ё:НИНАРУ</w:t>
      </w:r>
      <w:proofErr w:type="gramEnd"/>
      <w:r w:rsidRPr="00C74C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cs"/>
          <w:sz w:val="28"/>
          <w:szCs w:val="28"/>
        </w:rPr>
        <w:t>-Ё:НИСУРУ</w:t>
      </w:r>
      <w:r w:rsidRPr="00C74CE4">
        <w:rPr>
          <w:rFonts w:ascii="Times New Roman" w:hAnsi="Times New Roman" w:cs="Times New Roman"/>
          <w:sz w:val="28"/>
          <w:szCs w:val="28"/>
        </w:rPr>
        <w:t>.</w:t>
      </w:r>
      <w:r w:rsidR="00EB0338">
        <w:rPr>
          <w:rFonts w:ascii="Times New Roman" w:hAnsi="Times New Roman" w:cs="Times New Roman"/>
          <w:sz w:val="28"/>
          <w:szCs w:val="28"/>
        </w:rPr>
        <w:t xml:space="preserve"> Служебное слово ТОКОРО.</w:t>
      </w:r>
    </w:p>
    <w:p w:rsidR="00612E1E" w:rsidRPr="00F21B7A" w:rsidRDefault="00612E1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proofErr w:type="spellStart"/>
      <w:r w:rsidRPr="00F21B7A">
        <w:rPr>
          <w:rFonts w:ascii="Times New Roman" w:hAnsi="Times New Roman" w:cs="Times New Roman"/>
          <w:b/>
          <w:sz w:val="28"/>
          <w:szCs w:val="28"/>
          <w:lang w:val="en-US"/>
        </w:rPr>
        <w:t>Тематическое</w:t>
      </w:r>
      <w:proofErr w:type="spellEnd"/>
      <w:r w:rsidRPr="00F21B7A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612E1E" w:rsidRPr="00F21B7A" w:rsidRDefault="00612E1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1-й год обучения</w:t>
      </w:r>
    </w:p>
    <w:p w:rsidR="00612E1E" w:rsidRPr="00F21B7A" w:rsidRDefault="00612E1E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1"/>
        <w:gridCol w:w="5669"/>
        <w:gridCol w:w="1418"/>
        <w:gridCol w:w="1809"/>
      </w:tblGrid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2E1E" w:rsidRPr="00F21B7A" w:rsidRDefault="00612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</w:t>
            </w:r>
            <w:r w:rsidR="00947E6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F21B7A" w:rsidP="00F21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Японская азбука</w:t>
            </w:r>
            <w:r w:rsidR="00612E1E" w:rsidRPr="00F21B7A">
              <w:rPr>
                <w:rFonts w:ascii="Times New Roman" w:hAnsi="Times New Roman" w:cs="Times New Roman"/>
                <w:sz w:val="28"/>
                <w:szCs w:val="28"/>
              </w:rPr>
              <w:t>. Числительные.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В ходе освоения данных тем используется следующая схема работы: проработка новых иероглифов в прописях, разбор новой грамматики, работа с текстами, выполнение устных и письменных упражнений, работа у доски, повторение и закрепление, написание контрольной работы по уроку. В качестве дополнительных материалов привлекаются лексика, тексты, упражнения из японских </w:t>
            </w:r>
            <w:r w:rsidRPr="00F2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пособий; обучающие видео; песни на японском языке; «живые» учебные материалы и т.д.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Из каждого урока дополнительного учебного пособия прорабатывается и разыгрывается по ролям диалог.</w:t>
            </w:r>
          </w:p>
        </w:tc>
      </w:tr>
      <w:tr w:rsidR="00612E1E" w:rsidRPr="00F21B7A" w:rsidTr="00947E63">
        <w:trPr>
          <w:trHeight w:val="142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7A" w:rsidRPr="008B5B2E" w:rsidRDefault="00F21B7A">
            <w:pPr>
              <w:pStyle w:val="Default"/>
              <w:spacing w:after="0" w:line="100" w:lineRule="atLeast"/>
              <w:rPr>
                <w:rFonts w:eastAsia="Yu Mincho"/>
                <w:sz w:val="28"/>
                <w:szCs w:val="28"/>
                <w:lang w:eastAsia="ja-JP"/>
              </w:rPr>
            </w:pPr>
            <w:r w:rsidRPr="008B5B2E">
              <w:rPr>
                <w:rFonts w:eastAsia="Yu Mincho"/>
                <w:sz w:val="28"/>
                <w:szCs w:val="28"/>
                <w:lang w:eastAsia="ja-JP"/>
              </w:rPr>
              <w:t>Тема «Покупки».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Утвердительное предложение. Вопросительное предложение. Указательные местоимения и наречия. Отрицательное предложение. </w:t>
            </w:r>
          </w:p>
          <w:p w:rsidR="00612E1E" w:rsidRPr="00F21B7A" w:rsidRDefault="00F21B7A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Culture note: </w:t>
            </w:r>
            <w:r>
              <w:rPr>
                <w:sz w:val="28"/>
                <w:szCs w:val="28"/>
              </w:rPr>
              <w:t>Японские имена.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7A" w:rsidRDefault="00F21B7A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«Город».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Спряжение глаголов. Падежные показатели. Время. Порядок слов в предложении. Описание местоположения. </w:t>
            </w:r>
          </w:p>
          <w:p w:rsidR="00612E1E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Прилагательные. Конструкции приглашения к действию. </w:t>
            </w:r>
          </w:p>
          <w:p w:rsidR="00C74CE4" w:rsidRPr="00F21B7A" w:rsidRDefault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</w:p>
          <w:p w:rsidR="00612E1E" w:rsidRPr="00F21B7A" w:rsidRDefault="00F21B7A" w:rsidP="00F21B7A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Culture note: </w:t>
            </w:r>
            <w:r>
              <w:rPr>
                <w:sz w:val="28"/>
                <w:szCs w:val="28"/>
              </w:rPr>
              <w:t xml:space="preserve">Японский дом. 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7A" w:rsidRDefault="00F21B7A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«Мой день».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Срединные формы глаголов. Конструкции разрешения, запрещения. Описание последовательности действий </w:t>
            </w:r>
          </w:p>
          <w:p w:rsidR="00612E1E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Форма длительного вида глагола. Срединная форма </w:t>
            </w:r>
            <w:proofErr w:type="spellStart"/>
            <w:r w:rsidRPr="00F21B7A">
              <w:rPr>
                <w:sz w:val="28"/>
                <w:szCs w:val="28"/>
              </w:rPr>
              <w:t>прил</w:t>
            </w:r>
            <w:proofErr w:type="spellEnd"/>
            <w:r w:rsidRPr="00F21B7A">
              <w:rPr>
                <w:sz w:val="28"/>
                <w:szCs w:val="28"/>
              </w:rPr>
              <w:t xml:space="preserve">-х и </w:t>
            </w:r>
            <w:proofErr w:type="spellStart"/>
            <w:r w:rsidRPr="00F21B7A">
              <w:rPr>
                <w:sz w:val="28"/>
                <w:szCs w:val="28"/>
              </w:rPr>
              <w:t>сущ</w:t>
            </w:r>
            <w:proofErr w:type="spellEnd"/>
            <w:r w:rsidRPr="00F21B7A">
              <w:rPr>
                <w:sz w:val="28"/>
                <w:szCs w:val="28"/>
              </w:rPr>
              <w:t xml:space="preserve">-х. Конструкция цели движения. </w:t>
            </w:r>
          </w:p>
          <w:p w:rsidR="00C74CE4" w:rsidRPr="00F21B7A" w:rsidRDefault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</w:p>
          <w:p w:rsidR="00F21B7A" w:rsidRPr="00F21B7A" w:rsidRDefault="00F21B7A" w:rsidP="00F21B7A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Culture</w:t>
            </w:r>
            <w:r w:rsidRPr="00F21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note</w:t>
            </w:r>
            <w:r w:rsidRPr="00F21B7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Японские фестивали.</w:t>
            </w:r>
          </w:p>
          <w:p w:rsidR="00612E1E" w:rsidRPr="00F21B7A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7A" w:rsidRDefault="00F21B7A" w:rsidP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="00C74CE4">
              <w:rPr>
                <w:sz w:val="28"/>
                <w:szCs w:val="28"/>
              </w:rPr>
              <w:t>Семья</w:t>
            </w:r>
            <w:r>
              <w:rPr>
                <w:sz w:val="28"/>
                <w:szCs w:val="28"/>
              </w:rPr>
              <w:t>».</w:t>
            </w:r>
          </w:p>
          <w:p w:rsidR="00612E1E" w:rsidRDefault="00612E1E" w:rsidP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Простые формы настоящего и прошедшего времени. Повседневное общение. Косвенная речь. </w:t>
            </w:r>
          </w:p>
          <w:p w:rsidR="00C74CE4" w:rsidRPr="00F21B7A" w:rsidRDefault="00C74CE4" w:rsidP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</w:p>
          <w:p w:rsidR="00F21B7A" w:rsidRPr="00F21B7A" w:rsidRDefault="00F21B7A" w:rsidP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Culture</w:t>
            </w:r>
            <w:r w:rsidRPr="00F21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note</w:t>
            </w:r>
            <w:r w:rsidRPr="00F21B7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Японская еда.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B7A" w:rsidRDefault="00F21B7A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="00C74CE4">
              <w:rPr>
                <w:sz w:val="28"/>
                <w:szCs w:val="28"/>
              </w:rPr>
              <w:t>Каникулы».</w:t>
            </w:r>
          </w:p>
          <w:p w:rsidR="00612E1E" w:rsidRDefault="00612E1E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Сравнительные конструкции. </w:t>
            </w:r>
            <w:r w:rsidRPr="00F21B7A">
              <w:rPr>
                <w:sz w:val="28"/>
                <w:szCs w:val="28"/>
              </w:rPr>
              <w:lastRenderedPageBreak/>
              <w:t xml:space="preserve">Субстантивация прилагательных. Выражение намерения. </w:t>
            </w:r>
          </w:p>
          <w:p w:rsidR="00C74CE4" w:rsidRPr="00F21B7A" w:rsidRDefault="00C74CE4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F21B7A" w:rsidRPr="00C74CE4" w:rsidRDefault="00F21B7A" w:rsidP="00F21B7A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Culture</w:t>
            </w:r>
            <w:r w:rsidRPr="00C74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note</w:t>
            </w:r>
            <w:r w:rsidRPr="00C74CE4">
              <w:rPr>
                <w:sz w:val="28"/>
                <w:szCs w:val="28"/>
              </w:rPr>
              <w:t xml:space="preserve">: </w:t>
            </w:r>
            <w:r w:rsidR="00C74CE4">
              <w:rPr>
                <w:sz w:val="28"/>
                <w:szCs w:val="28"/>
              </w:rPr>
              <w:t>Японские традиционные искусства.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CE4" w:rsidRDefault="00C74CE4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«Путешествие».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Выражение желания. Однородные существительные. </w:t>
            </w:r>
          </w:p>
          <w:p w:rsidR="00612E1E" w:rsidRDefault="00612E1E" w:rsidP="00C74CE4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Перечисление действий. </w:t>
            </w:r>
          </w:p>
          <w:p w:rsidR="00C74CE4" w:rsidRPr="00C74CE4" w:rsidRDefault="00C74CE4" w:rsidP="00C74CE4">
            <w:pPr>
              <w:pStyle w:val="Defaul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Culture note: </w:t>
            </w:r>
            <w:r>
              <w:rPr>
                <w:sz w:val="28"/>
                <w:szCs w:val="28"/>
              </w:rPr>
              <w:t>Японский транспорт.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CE4" w:rsidRDefault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«Болезнь».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Конструкции долженствования. Конструкции уточнения. </w:t>
            </w:r>
          </w:p>
          <w:p w:rsidR="00612E1E" w:rsidRDefault="00612E1E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Конструкции </w:t>
            </w:r>
            <w:r w:rsidR="00274C98" w:rsidRPr="00F21B7A">
              <w:rPr>
                <w:sz w:val="28"/>
                <w:szCs w:val="28"/>
              </w:rPr>
              <w:t>совета</w:t>
            </w:r>
            <w:r w:rsidRPr="00F21B7A">
              <w:rPr>
                <w:sz w:val="28"/>
                <w:szCs w:val="28"/>
              </w:rPr>
              <w:t xml:space="preserve">. </w:t>
            </w:r>
          </w:p>
          <w:p w:rsidR="00C74CE4" w:rsidRPr="00C74CE4" w:rsidRDefault="00C74CE4" w:rsidP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Culture note: </w:t>
            </w:r>
            <w:r>
              <w:rPr>
                <w:sz w:val="28"/>
                <w:szCs w:val="28"/>
              </w:rPr>
              <w:t>Климат Японии.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CE4" w:rsidRDefault="00C74CE4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="00F17048">
              <w:rPr>
                <w:sz w:val="28"/>
                <w:szCs w:val="28"/>
              </w:rPr>
              <w:t>Подработка».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Потенциальный залог. Сложносочиненные предложения. </w:t>
            </w:r>
          </w:p>
          <w:p w:rsidR="00612E1E" w:rsidRPr="00F21B7A" w:rsidRDefault="00612E1E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>Конст</w:t>
            </w:r>
            <w:r w:rsidR="00F17048">
              <w:rPr>
                <w:sz w:val="28"/>
                <w:szCs w:val="28"/>
              </w:rPr>
              <w:t>рукции «Похоже, что…». Условные</w:t>
            </w:r>
            <w:r w:rsidRPr="00F21B7A">
              <w:rPr>
                <w:sz w:val="28"/>
                <w:szCs w:val="28"/>
              </w:rPr>
              <w:t xml:space="preserve"> придаточные.</w:t>
            </w:r>
          </w:p>
          <w:p w:rsidR="00612E1E" w:rsidRPr="00F17048" w:rsidRDefault="00F170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Японские традиции и обряды.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48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«Подарки».</w:t>
            </w:r>
          </w:p>
          <w:p w:rsidR="00612E1E" w:rsidRDefault="00612E1E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Выражение предположения. Глаголы направленного действия. Счетные суффиксы. </w:t>
            </w:r>
          </w:p>
          <w:p w:rsidR="00F17048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F17048" w:rsidRPr="00F21B7A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Японские традиции и обряды.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и промежуточный контроль.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48" w:rsidRDefault="00F17048" w:rsidP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«Любимое место».</w:t>
            </w:r>
          </w:p>
          <w:p w:rsidR="00612E1E" w:rsidRDefault="00612E1E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>Конструкции выражения намерения. Определительные конструкции. Порядковые числительные.</w:t>
            </w:r>
          </w:p>
          <w:p w:rsidR="00612E1E" w:rsidRPr="00F21B7A" w:rsidRDefault="00F17048" w:rsidP="00F17048">
            <w:pPr>
              <w:pStyle w:val="Defaul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lastRenderedPageBreak/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Японские гостиницы.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уроку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48" w:rsidRDefault="00F17048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«Жизнь в японской семье».</w:t>
            </w:r>
          </w:p>
          <w:p w:rsidR="00612E1E" w:rsidRDefault="00612E1E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Выражение направленности действия. Выражение просьбы, совета.  </w:t>
            </w:r>
          </w:p>
          <w:p w:rsidR="00F17048" w:rsidRPr="00F21B7A" w:rsidRDefault="00F17048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Традиция подарков в Японии».</w:t>
            </w:r>
          </w:p>
          <w:p w:rsidR="00612E1E" w:rsidRPr="00F21B7A" w:rsidRDefault="00612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уроку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48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«Учеба в университете».</w:t>
            </w:r>
          </w:p>
          <w:p w:rsidR="00612E1E" w:rsidRDefault="00612E1E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Конструкция «Я слышал, что…». Последовательность действий. Условная форма.  </w:t>
            </w:r>
          </w:p>
          <w:p w:rsidR="00F17048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F17048" w:rsidRPr="00F21B7A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Японские жесты.</w:t>
            </w:r>
          </w:p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48" w:rsidRDefault="00F17048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ресторане».</w:t>
            </w:r>
          </w:p>
          <w:p w:rsidR="00612E1E" w:rsidRPr="00F21B7A" w:rsidRDefault="00612E1E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Переходные и непереходные глаголы. Выражение завершенности действия. </w:t>
            </w:r>
          </w:p>
          <w:p w:rsidR="00612E1E" w:rsidRDefault="00612E1E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>Условно-временные придаточные.</w:t>
            </w:r>
          </w:p>
          <w:p w:rsidR="00612E1E" w:rsidRPr="00F21B7A" w:rsidRDefault="00F17048" w:rsidP="00F17048">
            <w:pPr>
              <w:pStyle w:val="Defaul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1E" w:rsidRPr="00F21B7A" w:rsidTr="00947E63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E1E" w:rsidRPr="00F21B7A" w:rsidRDefault="00612E1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E1E" w:rsidRPr="00F21B7A" w:rsidRDefault="00947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2-й год обучения</w:t>
      </w:r>
    </w:p>
    <w:p w:rsidR="00612E1E" w:rsidRPr="00F21B7A" w:rsidRDefault="00612E1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5813"/>
        <w:gridCol w:w="1276"/>
        <w:gridCol w:w="1808"/>
      </w:tblGrid>
      <w:tr w:rsidR="00612E1E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2E1E" w:rsidRPr="00F21B7A" w:rsidRDefault="00612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</w:t>
            </w:r>
            <w:r w:rsidR="00947E6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E1E" w:rsidRPr="00F21B7A" w:rsidRDefault="00612E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2F3FC9" w:rsidRPr="00F21B7A" w:rsidTr="00947E63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«Вежливое общение».</w:t>
            </w:r>
          </w:p>
          <w:p w:rsidR="002F3FC9" w:rsidRPr="00F21B7A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Вежливые глаголы. </w:t>
            </w:r>
          </w:p>
          <w:p w:rsidR="002F3FC9" w:rsidRDefault="002F3FC9" w:rsidP="002F3FC9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Конструкции вежливого совета. Конструкция </w:t>
            </w:r>
            <w:r w:rsidRPr="00F21B7A">
              <w:rPr>
                <w:sz w:val="28"/>
                <w:szCs w:val="28"/>
              </w:rPr>
              <w:lastRenderedPageBreak/>
              <w:t>предложения. Вы</w:t>
            </w:r>
            <w:r>
              <w:rPr>
                <w:sz w:val="28"/>
                <w:szCs w:val="28"/>
              </w:rPr>
              <w:t>р</w:t>
            </w:r>
            <w:r w:rsidRPr="00F21B7A">
              <w:rPr>
                <w:sz w:val="28"/>
                <w:szCs w:val="28"/>
              </w:rPr>
              <w:t>ажение благодарности.</w:t>
            </w:r>
          </w:p>
          <w:p w:rsidR="002F3FC9" w:rsidRPr="00F21B7A" w:rsidRDefault="002F3FC9" w:rsidP="002F3FC9">
            <w:pPr>
              <w:pStyle w:val="Defaul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Посещение японского дома.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947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7E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В ходе освоения данных тем </w:t>
            </w:r>
            <w:r w:rsidRPr="00F2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используется следующая схема работы: проработка новых иероглифов в прописях, разбор новой грамматики, работа с текстами, выполнение устных и письменных упражнений, работа у доски, повторение и закрепление, написание контрольной работы по уроку. В качестве дополнительных материалов привлекаются лексика, тексты, упражнения из японских учебных пособий; обучающие видео; песни на японском языке; «живые» учебные материалы и т.д.</w:t>
            </w:r>
          </w:p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Из каждого </w:t>
            </w:r>
            <w:r w:rsidRPr="00F2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 дополнительного учебного пособия прорабатывается и разыгрывается по ролям диалог.</w:t>
            </w:r>
          </w:p>
        </w:tc>
      </w:tr>
      <w:tr w:rsidR="002F3FC9" w:rsidRPr="00F21B7A" w:rsidTr="00947E63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«Сервис в Японии».</w:t>
            </w:r>
          </w:p>
          <w:p w:rsidR="002F3FC9" w:rsidRDefault="002F3FC9" w:rsidP="002F3FC9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>Вежливые конструкции (скромнос</w:t>
            </w:r>
            <w:r>
              <w:rPr>
                <w:sz w:val="28"/>
                <w:szCs w:val="28"/>
              </w:rPr>
              <w:t>ти).</w:t>
            </w:r>
            <w:r w:rsidRPr="00F21B7A">
              <w:rPr>
                <w:sz w:val="28"/>
                <w:szCs w:val="28"/>
              </w:rPr>
              <w:t xml:space="preserve"> Срединная отрицательная форма глагола. </w:t>
            </w:r>
          </w:p>
          <w:p w:rsidR="002F3FC9" w:rsidRDefault="002F3FC9" w:rsidP="002F3FC9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</w:p>
          <w:p w:rsidR="002F3FC9" w:rsidRPr="00F21B7A" w:rsidRDefault="002F3FC9" w:rsidP="002F3FC9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Массовая культура Японии.</w:t>
            </w:r>
          </w:p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«Происшествия».</w:t>
            </w:r>
          </w:p>
          <w:p w:rsidR="002F3FC9" w:rsidRPr="00F21B7A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Страдательный залог. </w:t>
            </w:r>
          </w:p>
          <w:p w:rsidR="002F3FC9" w:rsidRPr="00F21B7A" w:rsidRDefault="002F3FC9" w:rsidP="002F3FC9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Выражение одновременности действий. </w:t>
            </w:r>
          </w:p>
          <w:p w:rsidR="002F3FC9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Религия Японии.</w:t>
            </w:r>
          </w:p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с </w:t>
            </w:r>
            <w:r w:rsidRPr="00F2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привлечением материалов из дополнительных учебников и разработок преподавателей.</w:t>
            </w:r>
          </w:p>
          <w:p w:rsidR="002F3FC9" w:rsidRPr="00F21B7A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FC9" w:rsidRPr="003C26C7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«Образование в Японии».</w:t>
            </w:r>
          </w:p>
          <w:p w:rsidR="002F3FC9" w:rsidRPr="00F21B7A" w:rsidRDefault="002F3FC9" w:rsidP="002F3FC9">
            <w:pPr>
              <w:pStyle w:val="Default"/>
              <w:spacing w:after="0" w:line="100" w:lineRule="atLeas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Побудительный залог. Формы выражения причинности. </w:t>
            </w:r>
          </w:p>
          <w:p w:rsidR="002F3FC9" w:rsidRDefault="002F3FC9" w:rsidP="002F3FC9">
            <w:pPr>
              <w:pStyle w:val="Default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Повелительное наклонение. Условная форма. </w:t>
            </w:r>
          </w:p>
          <w:p w:rsidR="002F3FC9" w:rsidRPr="00F21B7A" w:rsidRDefault="002F3FC9" w:rsidP="002F3FC9">
            <w:pPr>
              <w:pStyle w:val="Defaul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Система японского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«Японские друзья».</w:t>
            </w:r>
          </w:p>
          <w:p w:rsidR="002F3FC9" w:rsidRPr="00F21B7A" w:rsidRDefault="002F3FC9" w:rsidP="002F3FC9">
            <w:pPr>
              <w:pStyle w:val="Default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Побудительно-страдательный залог. </w:t>
            </w:r>
          </w:p>
          <w:p w:rsidR="002F3FC9" w:rsidRPr="00F21B7A" w:rsidRDefault="002F3FC9" w:rsidP="002F3FC9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Уступительная форма. </w:t>
            </w:r>
          </w:p>
          <w:p w:rsidR="002F3FC9" w:rsidRDefault="002F3FC9" w:rsidP="002F3FC9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F21B7A">
              <w:rPr>
                <w:sz w:val="28"/>
                <w:szCs w:val="28"/>
              </w:rPr>
              <w:t xml:space="preserve">Выражение предельности. </w:t>
            </w:r>
          </w:p>
          <w:p w:rsidR="002F3FC9" w:rsidRPr="00F21B7A" w:rsidRDefault="002F3FC9" w:rsidP="002F3FC9">
            <w:pPr>
              <w:pStyle w:val="Default"/>
              <w:rPr>
                <w:sz w:val="28"/>
                <w:szCs w:val="28"/>
              </w:rPr>
            </w:pPr>
            <w:r w:rsidRPr="00F17048">
              <w:rPr>
                <w:sz w:val="28"/>
                <w:szCs w:val="28"/>
                <w:lang w:val="en-US"/>
              </w:rPr>
              <w:t>Culture</w:t>
            </w:r>
            <w:r w:rsidRPr="00F17048">
              <w:rPr>
                <w:sz w:val="28"/>
                <w:szCs w:val="28"/>
              </w:rPr>
              <w:t xml:space="preserve"> </w:t>
            </w:r>
            <w:r w:rsidRPr="00F17048">
              <w:rPr>
                <w:sz w:val="28"/>
                <w:szCs w:val="28"/>
                <w:lang w:val="en-US"/>
              </w:rPr>
              <w:t>note</w:t>
            </w:r>
            <w:r w:rsidRPr="00F1704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Японские пословицы.</w:t>
            </w:r>
          </w:p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с </w:t>
            </w:r>
            <w:r w:rsidRPr="00F2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привлечением материалов из дополнительных учебников и разработок преподавателей.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«Японские приветствия (продолжающий уровень)»</w:t>
            </w:r>
          </w:p>
          <w:p w:rsidR="002F3FC9" w:rsidRDefault="002F3FC9" w:rsidP="002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E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-КОТОНИНАРУ</w:t>
            </w:r>
            <w:r w:rsidRPr="00C74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hint="cs"/>
                <w:sz w:val="28"/>
                <w:szCs w:val="28"/>
              </w:rPr>
              <w:t>-КОТОНИСУРУ</w:t>
            </w:r>
            <w:r w:rsidRPr="00C74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hint="cs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</w:rPr>
              <w:t>Ё:НИНАРУ</w:t>
            </w:r>
            <w:proofErr w:type="gramEnd"/>
            <w:r w:rsidRPr="00C74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hint="cs"/>
                <w:sz w:val="28"/>
                <w:szCs w:val="28"/>
              </w:rPr>
              <w:t>-Ё:НИСУРУ</w:t>
            </w:r>
            <w:r w:rsidRPr="00C7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Служебное слово ТОКОРО.</w:t>
            </w:r>
          </w:p>
          <w:p w:rsidR="002F3FC9" w:rsidRPr="00EB0338" w:rsidRDefault="002F3FC9" w:rsidP="002F3F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Японский этикет.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«Японские обиходные выражения».</w:t>
            </w:r>
          </w:p>
          <w:p w:rsidR="002F3FC9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союзы. Косвенный вопрос.</w:t>
            </w:r>
          </w:p>
          <w:p w:rsidR="002F3FC9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C9" w:rsidRPr="00F21B7A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Японский этикет.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«Стажировка в Японию».</w:t>
            </w:r>
          </w:p>
          <w:p w:rsidR="002F3FC9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Ограничительная частица БАКАРИ. Долженствование –БЭКИ. </w:t>
            </w:r>
          </w:p>
          <w:p w:rsidR="008B5B2E" w:rsidRDefault="008B5B2E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  <w:r w:rsidRPr="00F1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Японский этикет.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947E63" w:rsidRDefault="0079239B" w:rsidP="00947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с </w:t>
            </w:r>
            <w:r w:rsidRPr="00F21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привлечением материалов из дополнительных учебников и разработок преподавателей.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C9" w:rsidRPr="00F21B7A" w:rsidTr="00947E6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FC9" w:rsidRPr="00F21B7A" w:rsidRDefault="002F3FC9" w:rsidP="002F3F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B7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FC9" w:rsidRPr="00F21B7A" w:rsidRDefault="00947E63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C9" w:rsidRPr="00F21B7A" w:rsidRDefault="002F3FC9" w:rsidP="002F3F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— опыт дел, направленных на заботу о своей семье, родных и близких; 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— трудовой опыт, опыт участия в производственной практике;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— опыт дел, направленных на пользу своему родному городу или селу, стране 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в целом, опыт деятельного выражения собственной гражданской позиции; 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— опыт природоохранных дел;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— опыт разрешения возникающих конфликтных ситуаций в школе, дома 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или на улице;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position w:val="13"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:rsidR="00612E1E" w:rsidRPr="00F21B7A" w:rsidRDefault="00612E1E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position w:val="13"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612E1E" w:rsidRPr="00F21B7A" w:rsidRDefault="00612E1E">
      <w:pPr>
        <w:pStyle w:val="ConsPlusNorma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12E1E" w:rsidRPr="00F21B7A" w:rsidRDefault="00612E1E">
      <w:pPr>
        <w:pStyle w:val="ConsPlusNormal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12E1E" w:rsidRPr="00F21B7A" w:rsidRDefault="00612E1E">
      <w:pPr>
        <w:pStyle w:val="ConsPlusNormal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:rsidR="00612E1E" w:rsidRPr="00F21B7A" w:rsidRDefault="00612E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2E1E" w:rsidRPr="00F21B7A" w:rsidRDefault="00612E1E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2E1E" w:rsidRPr="00F21B7A" w:rsidRDefault="00612E1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Основной функцией языка является коммуникация. При достижении определенного порогового уровня владения языком человек способен общаться на этом языке с другими его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нативными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ненативными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носителями. Изучение второго иностранного (восточного) языка в старших классах средней общеобразовательной школы, имеет своей целью не только подготовку учащихся к коммуникации на изучаемом языке, но и преследует многочисленные цели личностного развития и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цели, основные из которых представлены ниже</w:t>
      </w: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Изучение языка как профориентация.</w:t>
      </w:r>
      <w:r w:rsidRPr="00F21B7A">
        <w:rPr>
          <w:rFonts w:ascii="Times New Roman" w:hAnsi="Times New Roman" w:cs="Times New Roman"/>
          <w:sz w:val="28"/>
          <w:szCs w:val="28"/>
        </w:rPr>
        <w:t xml:space="preserve"> Изучение востоковедения и восточного языка на профиле обучения «Востоковедение» призвано помочь учащемуся более осознанно совершить выбор будущей профессии. Изучение восточных языков и культур имеет определенную специфику, и знакомство с ней в старшей школе дает представление об обучении на соответствующих профильных факультетах высших учебных заведений. </w:t>
      </w:r>
    </w:p>
    <w:p w:rsidR="00612E1E" w:rsidRPr="00F21B7A" w:rsidRDefault="00612E1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Изучение языка как универсальная модель работы с личной мотивацией.</w:t>
      </w:r>
      <w:r w:rsidRPr="00F21B7A">
        <w:rPr>
          <w:rFonts w:ascii="Times New Roman" w:hAnsi="Times New Roman" w:cs="Times New Roman"/>
          <w:sz w:val="28"/>
          <w:szCs w:val="28"/>
        </w:rPr>
        <w:t xml:space="preserve"> В процессе изучения японского языка, учащиеся осваивают навыки тайм-менеджмента, необходимые для выполнения трудоемких заданий, развивают самодисциплину, учатся контролировать свое психологическое состояние в контексте продуктивности и ориентации как на процесс, так и на результат деятельности.</w:t>
      </w:r>
    </w:p>
    <w:p w:rsidR="00612E1E" w:rsidRPr="00F21B7A" w:rsidRDefault="00612E1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 xml:space="preserve">Изучение языка как тренировка интеллекта. </w:t>
      </w:r>
      <w:r w:rsidRPr="00F21B7A">
        <w:rPr>
          <w:rFonts w:ascii="Times New Roman" w:hAnsi="Times New Roman" w:cs="Times New Roman"/>
          <w:sz w:val="28"/>
          <w:szCs w:val="28"/>
        </w:rPr>
        <w:t xml:space="preserve">Достижения современной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свидетельствуют, что изучение иностранных языков улучшает когнитивные способности. Особенно радикального эффекта можно достичь, изучая языки, генеалогически и типологически значительно отличающиеся от родного языка. В этом контексте изучение японского языка носителями русского языка как родного имеет значительный потенциал для развития интеллектуальных способностей учащегося. Грамматически японский язык исключительно отличен от русского и других индоевропейских языков (включая английский). Кроме того, японский язык использует самую сложную письменность из всех существующих в мире языков: заимствованную из Китая иероглифику (в официальном списке иероглифов, необходимых в повседневной жизни, опубликованном правительством Японии, содержится 2136 иероглифов), две азбуки (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хирагана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катакана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). Наиболее привычным способом письма и чтения для носителей является вертикальное письмо справа налево.</w:t>
      </w:r>
    </w:p>
    <w:p w:rsidR="00612E1E" w:rsidRPr="00F21B7A" w:rsidRDefault="00612E1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Изучение языка как воспитание толерантности.</w:t>
      </w:r>
      <w:r w:rsidRPr="00F21B7A">
        <w:rPr>
          <w:rFonts w:ascii="Times New Roman" w:hAnsi="Times New Roman" w:cs="Times New Roman"/>
          <w:sz w:val="28"/>
          <w:szCs w:val="28"/>
        </w:rPr>
        <w:t xml:space="preserve"> Японский язык является ярчайшим отражением японской культуры и образа мыслей. С самых первых дней обучения учащиеся сталкиваются с непривычными понятиями, этикетными ритуалами и языковыми </w:t>
      </w:r>
      <w:r w:rsidRPr="00F21B7A">
        <w:rPr>
          <w:rFonts w:ascii="Times New Roman" w:hAnsi="Times New Roman" w:cs="Times New Roman"/>
          <w:sz w:val="28"/>
          <w:szCs w:val="28"/>
        </w:rPr>
        <w:lastRenderedPageBreak/>
        <w:t xml:space="preserve">клише, учась эффективной коммуникации,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, умению понять ментальность, настроение, намерения другого человека, представителя иной культуры.</w:t>
      </w:r>
    </w:p>
    <w:p w:rsidR="00612E1E" w:rsidRPr="00F21B7A" w:rsidRDefault="00612E1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Изучение языка как опыт встречи с Другим.</w:t>
      </w:r>
      <w:r w:rsidRPr="00F21B7A">
        <w:rPr>
          <w:rFonts w:ascii="Times New Roman" w:hAnsi="Times New Roman" w:cs="Times New Roman"/>
          <w:sz w:val="28"/>
          <w:szCs w:val="28"/>
        </w:rPr>
        <w:t xml:space="preserve"> Изучение японского языка и культуры развивают способности и стремления, учащихся к осознанию места русского языка и российской культуры в мире. Япония становится своеобразным зеркалом, в котором учащиеся наблюдают родную культуру, формируя свою неповторимую идентичность как россиянина, вовлеченного в мировые культурные процессы.</w:t>
      </w:r>
    </w:p>
    <w:p w:rsidR="00612E1E" w:rsidRPr="00F21B7A" w:rsidRDefault="00612E1E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Изучение дисциплины «Японский язык» предполагает три основных компонента:</w:t>
      </w:r>
    </w:p>
    <w:p w:rsidR="00612E1E" w:rsidRPr="00F21B7A" w:rsidRDefault="00612E1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 xml:space="preserve">Работа с учебным пособием. </w:t>
      </w:r>
      <w:r w:rsidRPr="00F21B7A">
        <w:rPr>
          <w:rFonts w:ascii="Times New Roman" w:hAnsi="Times New Roman" w:cs="Times New Roman"/>
          <w:sz w:val="28"/>
          <w:szCs w:val="28"/>
        </w:rPr>
        <w:t>На занятиях в Лицее и при выполнении домашних заданий учащиеся используют учебно-методические комплекты, изданные в России и Японии.</w:t>
      </w:r>
    </w:p>
    <w:p w:rsidR="00612E1E" w:rsidRPr="00F21B7A" w:rsidRDefault="00612E1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Работа с медиа-ресурсами.</w:t>
      </w:r>
      <w:r w:rsidRPr="00F21B7A">
        <w:rPr>
          <w:rFonts w:ascii="Times New Roman" w:hAnsi="Times New Roman" w:cs="Times New Roman"/>
          <w:sz w:val="28"/>
          <w:szCs w:val="28"/>
        </w:rPr>
        <w:t xml:space="preserve"> Важной составляющей аудиторной и внеаудиторной работы является погружение в языковую среду при помощи современных технологий и знакомства с «живыми» реалиями (яп. </w:t>
      </w:r>
      <w:proofErr w:type="spellStart"/>
      <w:r w:rsidRPr="00F21B7A">
        <w:rPr>
          <w:rFonts w:ascii="Times New Roman" w:hAnsi="Times New Roman" w:cs="Times New Roman"/>
          <w:i/>
          <w:sz w:val="28"/>
          <w:szCs w:val="28"/>
          <w:lang w:val="en-US"/>
        </w:rPr>
        <w:t>nama</w:t>
      </w:r>
      <w:proofErr w:type="spellEnd"/>
      <w:r w:rsidRPr="00F21B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1B7A">
        <w:rPr>
          <w:rFonts w:ascii="Times New Roman" w:hAnsi="Times New Roman" w:cs="Times New Roman"/>
          <w:i/>
          <w:sz w:val="28"/>
          <w:szCs w:val="28"/>
          <w:lang w:val="en-US"/>
        </w:rPr>
        <w:t>ky</w:t>
      </w:r>
      <w:proofErr w:type="spellEnd"/>
      <w:r w:rsidRPr="00F21B7A">
        <w:rPr>
          <w:rFonts w:ascii="Times New Roman" w:hAnsi="Times New Roman" w:cs="Times New Roman"/>
          <w:i/>
          <w:sz w:val="28"/>
          <w:szCs w:val="28"/>
        </w:rPr>
        <w:t>ō</w:t>
      </w:r>
      <w:proofErr w:type="spellStart"/>
      <w:r w:rsidRPr="00F21B7A">
        <w:rPr>
          <w:rFonts w:ascii="Times New Roman" w:hAnsi="Times New Roman" w:cs="Times New Roman"/>
          <w:i/>
          <w:sz w:val="28"/>
          <w:szCs w:val="28"/>
          <w:lang w:val="en-US"/>
        </w:rPr>
        <w:t>zai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) японской культуры: рекламными буклетами, книгами, предметами быта, эстрадными песнями, кинофильмами и т.д.</w:t>
      </w:r>
    </w:p>
    <w:p w:rsidR="00612E1E" w:rsidRPr="00F21B7A" w:rsidRDefault="00612E1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 xml:space="preserve">Культурная программа. </w:t>
      </w:r>
      <w:r w:rsidRPr="00F21B7A">
        <w:rPr>
          <w:rFonts w:ascii="Times New Roman" w:hAnsi="Times New Roman" w:cs="Times New Roman"/>
          <w:sz w:val="28"/>
          <w:szCs w:val="28"/>
        </w:rPr>
        <w:t xml:space="preserve">В течение двух лет обучения предполагается посещение учащимися в сопровождении преподавателя культурных мероприятий и мест, связанных с японской культурой: </w:t>
      </w:r>
    </w:p>
    <w:p w:rsidR="00612E1E" w:rsidRPr="00F21B7A" w:rsidRDefault="00612E1E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ежегодного фестиваля японского кино, организуемого Японским фондом (10, 11 класс),</w:t>
      </w:r>
    </w:p>
    <w:p w:rsidR="00612E1E" w:rsidRPr="00F21B7A" w:rsidRDefault="00612E1E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Государственного музея искусства народов Востока (экспозиция «Япония» и др. залы музея) (10 класс),</w:t>
      </w:r>
    </w:p>
    <w:p w:rsidR="00612E1E" w:rsidRPr="00F21B7A" w:rsidRDefault="00612E1E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ресторана аутентичной японской кухни (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Марукамэ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,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Ichiban</w:t>
      </w:r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7A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, Ю-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12E1E" w:rsidRPr="00F21B7A" w:rsidRDefault="00612E1E">
      <w:pPr>
        <w:pStyle w:val="ConsPlusNormal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612E1E" w:rsidRPr="00F21B7A" w:rsidRDefault="00612E1E">
      <w:pPr>
        <w:pStyle w:val="ConsPlusNormal"/>
        <w:ind w:left="178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Также предполагается проведение праздничного концерта, посвященного восточным культурам (сценки, песни, декламация, танцевальные номера) (10 и 11 классы).</w:t>
      </w: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данного предмета, учащиеся достигают уровня владения языком А2 (по классификации Японского фонда, соответствующей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F21B7A">
        <w:rPr>
          <w:rFonts w:ascii="Times New Roman" w:hAnsi="Times New Roman" w:cs="Times New Roman"/>
          <w:sz w:val="28"/>
          <w:szCs w:val="28"/>
        </w:rPr>
        <w:t xml:space="preserve">). ЕГЭ по японскому языку не сдается. Возможна сдача экзамена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JLPT</w:t>
      </w:r>
      <w:r w:rsidRPr="00F21B7A">
        <w:rPr>
          <w:rFonts w:ascii="Times New Roman" w:hAnsi="Times New Roman" w:cs="Times New Roman"/>
          <w:sz w:val="28"/>
          <w:szCs w:val="28"/>
        </w:rPr>
        <w:t xml:space="preserve"> на уровень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1B7A">
        <w:rPr>
          <w:rFonts w:ascii="Times New Roman" w:hAnsi="Times New Roman" w:cs="Times New Roman"/>
          <w:sz w:val="28"/>
          <w:szCs w:val="28"/>
        </w:rPr>
        <w:t>5 (международный сертификат).</w:t>
      </w:r>
    </w:p>
    <w:p w:rsidR="00612E1E" w:rsidRPr="00F21B7A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Японский язык изучается в 10 и 11 клас</w:t>
      </w:r>
      <w:r w:rsidR="00947E63">
        <w:rPr>
          <w:rFonts w:ascii="Times New Roman" w:hAnsi="Times New Roman" w:cs="Times New Roman"/>
          <w:sz w:val="28"/>
          <w:szCs w:val="28"/>
        </w:rPr>
        <w:t>сах. В учебном плане отводится 6</w:t>
      </w:r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r w:rsidRPr="00F21B7A">
        <w:rPr>
          <w:rFonts w:ascii="Times New Roman" w:hAnsi="Times New Roman" w:cs="Times New Roman"/>
          <w:sz w:val="28"/>
          <w:szCs w:val="28"/>
        </w:rPr>
        <w:lastRenderedPageBreak/>
        <w:t xml:space="preserve">аудиторных часов еженедельно, </w:t>
      </w:r>
      <w:r w:rsidR="00947E63">
        <w:rPr>
          <w:rFonts w:ascii="Times New Roman" w:hAnsi="Times New Roman" w:cs="Times New Roman"/>
          <w:sz w:val="28"/>
          <w:szCs w:val="28"/>
        </w:rPr>
        <w:t>204</w:t>
      </w:r>
      <w:r w:rsidRPr="00F21B7A">
        <w:rPr>
          <w:rFonts w:ascii="Times New Roman" w:hAnsi="Times New Roman" w:cs="Times New Roman"/>
          <w:sz w:val="28"/>
          <w:szCs w:val="28"/>
        </w:rPr>
        <w:t xml:space="preserve"> часов в течение года.</w:t>
      </w:r>
    </w:p>
    <w:p w:rsidR="00612E1E" w:rsidRPr="00F21B7A" w:rsidRDefault="00612E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2E1E" w:rsidRPr="00F21B7A" w:rsidRDefault="00612E1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612E1E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В качестве базового УМК используется учебное пособие: </w:t>
      </w:r>
    </w:p>
    <w:p w:rsidR="008B5B2E" w:rsidRPr="00F21B7A" w:rsidRDefault="008B5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8B5B2E" w:rsidP="008B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Полный курс японского языка. М., «Издательство АСТ», 2018.</w:t>
      </w:r>
    </w:p>
    <w:p w:rsidR="00612E1E" w:rsidRDefault="00612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Дополнительные учебные пособия:</w:t>
      </w:r>
    </w:p>
    <w:p w:rsidR="00945925" w:rsidRPr="00F21B7A" w:rsidRDefault="00945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 w:rsidP="0094592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 w:rsidR="008B5B2E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F21B7A">
        <w:rPr>
          <w:rFonts w:ascii="Times New Roman" w:hAnsi="Times New Roman" w:cs="Times New Roman"/>
          <w:sz w:val="28"/>
          <w:szCs w:val="28"/>
        </w:rPr>
        <w:t>Шефтелевич</w:t>
      </w:r>
      <w:r w:rsidR="008B5B2E">
        <w:rPr>
          <w:rFonts w:ascii="Times New Roman" w:hAnsi="Times New Roman" w:cs="Times New Roman"/>
          <w:sz w:val="28"/>
          <w:szCs w:val="28"/>
        </w:rPr>
        <w:t xml:space="preserve"> Н.С</w:t>
      </w:r>
      <w:r w:rsidRPr="00F21B7A">
        <w:rPr>
          <w:rFonts w:ascii="Times New Roman" w:hAnsi="Times New Roman" w:cs="Times New Roman"/>
          <w:sz w:val="28"/>
          <w:szCs w:val="28"/>
        </w:rPr>
        <w:t>.</w:t>
      </w:r>
      <w:r w:rsidR="008B5B2E">
        <w:rPr>
          <w:rFonts w:ascii="Times New Roman" w:hAnsi="Times New Roman" w:cs="Times New Roman"/>
          <w:sz w:val="28"/>
          <w:szCs w:val="28"/>
        </w:rPr>
        <w:t>,</w:t>
      </w:r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B7A">
        <w:rPr>
          <w:rFonts w:ascii="Times New Roman" w:hAnsi="Times New Roman" w:cs="Times New Roman"/>
          <w:i/>
          <w:sz w:val="28"/>
          <w:szCs w:val="28"/>
        </w:rPr>
        <w:t>Читаем</w:t>
      </w:r>
      <w:proofErr w:type="gramEnd"/>
      <w:r w:rsidRPr="00F21B7A">
        <w:rPr>
          <w:rFonts w:ascii="Times New Roman" w:hAnsi="Times New Roman" w:cs="Times New Roman"/>
          <w:i/>
          <w:sz w:val="28"/>
          <w:szCs w:val="28"/>
        </w:rPr>
        <w:t>, пишем, говорим по-японски</w:t>
      </w:r>
      <w:r w:rsidRPr="00F21B7A">
        <w:rPr>
          <w:rFonts w:ascii="Times New Roman" w:hAnsi="Times New Roman" w:cs="Times New Roman"/>
          <w:sz w:val="28"/>
          <w:szCs w:val="28"/>
        </w:rPr>
        <w:t>. М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., 2015. </w:t>
      </w:r>
    </w:p>
    <w:p w:rsidR="00612E1E" w:rsidRPr="00F21B7A" w:rsidRDefault="00612E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B7A">
        <w:rPr>
          <w:rFonts w:ascii="Times New Roman" w:hAnsi="Times New Roman" w:cs="Times New Roman"/>
          <w:sz w:val="28"/>
          <w:szCs w:val="28"/>
          <w:lang w:val="en-US"/>
        </w:rPr>
        <w:t>GENKI: an integrated course in elementary Japanese</w:t>
      </w:r>
      <w:r w:rsidR="00246FFE">
        <w:rPr>
          <w:rFonts w:ascii="Times New Roman" w:hAnsi="Times New Roman" w:cs="Times New Roman"/>
          <w:sz w:val="28"/>
          <w:szCs w:val="28"/>
          <w:lang w:val="en-US"/>
        </w:rPr>
        <w:t xml:space="preserve"> (I,II)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/ E. </w:t>
      </w:r>
      <w:proofErr w:type="spellStart"/>
      <w:r w:rsidRPr="00F21B7A">
        <w:rPr>
          <w:rFonts w:ascii="Times New Roman" w:hAnsi="Times New Roman" w:cs="Times New Roman"/>
          <w:sz w:val="28"/>
          <w:szCs w:val="28"/>
          <w:lang w:val="en-US"/>
        </w:rPr>
        <w:t>Banno</w:t>
      </w:r>
      <w:proofErr w:type="spellEnd"/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, Y. Ikeda, Y. </w:t>
      </w:r>
      <w:proofErr w:type="spellStart"/>
      <w:r w:rsidRPr="00F21B7A">
        <w:rPr>
          <w:rFonts w:ascii="Times New Roman" w:hAnsi="Times New Roman" w:cs="Times New Roman"/>
          <w:sz w:val="28"/>
          <w:szCs w:val="28"/>
          <w:lang w:val="en-US"/>
        </w:rPr>
        <w:t>Ohno</w:t>
      </w:r>
      <w:proofErr w:type="spellEnd"/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, et al.. – </w:t>
      </w:r>
      <w:proofErr w:type="gramStart"/>
      <w:r w:rsidRPr="00F21B7A">
        <w:rPr>
          <w:rFonts w:ascii="Times New Roman" w:hAnsi="Times New Roman" w:cs="Times New Roman"/>
          <w:sz w:val="28"/>
          <w:szCs w:val="28"/>
          <w:lang w:val="en-US"/>
        </w:rPr>
        <w:t>2nd</w:t>
      </w:r>
      <w:proofErr w:type="gramEnd"/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ed. – Tokyo: The Japan Times, 2013 (</w:t>
      </w:r>
      <w:r w:rsidRPr="00F21B7A">
        <w:rPr>
          <w:rFonts w:ascii="Times New Roman" w:hAnsi="Times New Roman" w:cs="Times New Roman"/>
          <w:sz w:val="28"/>
          <w:szCs w:val="28"/>
        </w:rPr>
        <w:t>или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B7A">
        <w:rPr>
          <w:rFonts w:ascii="Times New Roman" w:hAnsi="Times New Roman" w:cs="Times New Roman"/>
          <w:sz w:val="28"/>
          <w:szCs w:val="28"/>
        </w:rPr>
        <w:t>более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B7A">
        <w:rPr>
          <w:rFonts w:ascii="Times New Roman" w:hAnsi="Times New Roman" w:cs="Times New Roman"/>
          <w:sz w:val="28"/>
          <w:szCs w:val="28"/>
        </w:rPr>
        <w:t>поздние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B7A">
        <w:rPr>
          <w:rFonts w:ascii="Times New Roman" w:hAnsi="Times New Roman" w:cs="Times New Roman"/>
          <w:sz w:val="28"/>
          <w:szCs w:val="28"/>
        </w:rPr>
        <w:t>издания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12E1E" w:rsidRPr="00F21B7A" w:rsidRDefault="00612E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B7A">
        <w:rPr>
          <w:rFonts w:ascii="Times New Roman" w:hAnsi="Times New Roman" w:cs="Times New Roman"/>
          <w:sz w:val="28"/>
          <w:szCs w:val="28"/>
          <w:lang w:val="en-US"/>
        </w:rPr>
        <w:t>Marugoto</w:t>
      </w:r>
      <w:proofErr w:type="spellEnd"/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: Japanese language and culture. </w:t>
      </w:r>
      <w:proofErr w:type="spellStart"/>
      <w:r w:rsidRPr="00F21B7A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for communicative language activities.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Tokyo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Sanshusha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, 2013 </w:t>
      </w:r>
    </w:p>
    <w:p w:rsidR="00612E1E" w:rsidRPr="00F21B7A" w:rsidRDefault="00612E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Танака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Ё.,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Макино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Сигэкава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Микогами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Кога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Исии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Минна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-но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нихонго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сёкю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. (Японский язык для всех: начальный уровень 1). Токио: 3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Corporation</w:t>
      </w:r>
      <w:r w:rsidRPr="00F21B7A">
        <w:rPr>
          <w:rFonts w:ascii="Times New Roman" w:hAnsi="Times New Roman" w:cs="Times New Roman"/>
          <w:sz w:val="28"/>
          <w:szCs w:val="28"/>
        </w:rPr>
        <w:t>, 2001.</w:t>
      </w:r>
    </w:p>
    <w:p w:rsidR="00612E1E" w:rsidRDefault="00612E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Мияги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Оота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Ё.,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Сибата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Макино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Мицуи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Майнити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-но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кикитори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годзю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: нити.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Сёкю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нихонго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B7A">
        <w:rPr>
          <w:rFonts w:ascii="Times New Roman" w:hAnsi="Times New Roman" w:cs="Times New Roman"/>
          <w:sz w:val="28"/>
          <w:szCs w:val="28"/>
        </w:rPr>
        <w:t>тё:кай</w:t>
      </w:r>
      <w:proofErr w:type="spellEnd"/>
      <w:proofErr w:type="gramEnd"/>
      <w:r w:rsidRPr="00F2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рэнсю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:. (Ежедневное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на 50 дней (в двух частях). Упражнения на слушание и понимание для начинающих изучать японский язык). Токио: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Бондзинся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, 1998.</w:t>
      </w:r>
    </w:p>
    <w:p w:rsidR="00945925" w:rsidRPr="00945925" w:rsidRDefault="0094592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Наоми.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japanese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Tokyo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Japan Times, 2015.</w:t>
      </w:r>
    </w:p>
    <w:p w:rsidR="00612E1E" w:rsidRPr="00F21B7A" w:rsidRDefault="0061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</w:p>
    <w:p w:rsidR="00612E1E" w:rsidRPr="00F21B7A" w:rsidRDefault="00612E1E" w:rsidP="009357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1B7A">
        <w:rPr>
          <w:rFonts w:ascii="Times New Roman" w:hAnsi="Times New Roman" w:cs="Times New Roman"/>
          <w:sz w:val="28"/>
          <w:szCs w:val="28"/>
        </w:rPr>
        <w:t>Учебное пособие IRODORI</w:t>
      </w:r>
    </w:p>
    <w:p w:rsidR="00612E1E" w:rsidRPr="00F21B7A" w:rsidRDefault="00612E1E" w:rsidP="0093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B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592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21B7A">
          <w:rPr>
            <w:rStyle w:val="a3"/>
            <w:rFonts w:ascii="Times New Roman" w:hAnsi="Times New Roman" w:cs="Times New Roman"/>
            <w:sz w:val="28"/>
            <w:szCs w:val="28"/>
          </w:rPr>
          <w:t>https://www.irodori.jpf.go.jp/en/index.html</w:t>
        </w:r>
      </w:hyperlink>
    </w:p>
    <w:p w:rsidR="00612E1E" w:rsidRPr="00F21B7A" w:rsidRDefault="00612E1E" w:rsidP="0093574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B7A">
        <w:rPr>
          <w:rFonts w:ascii="Times New Roman" w:hAnsi="Times New Roman" w:cs="Times New Roman"/>
          <w:sz w:val="28"/>
          <w:szCs w:val="28"/>
        </w:rPr>
        <w:t>Учебное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B7A">
        <w:rPr>
          <w:rFonts w:ascii="Times New Roman" w:hAnsi="Times New Roman" w:cs="Times New Roman"/>
          <w:sz w:val="28"/>
          <w:szCs w:val="28"/>
        </w:rPr>
        <w:t>пособие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 Erin’s Challenge! Can Speak Japanese</w:t>
      </w:r>
    </w:p>
    <w:p w:rsidR="00612E1E" w:rsidRPr="00F21B7A" w:rsidRDefault="00612E1E" w:rsidP="0093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B7A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F21B7A">
          <w:rPr>
            <w:rStyle w:val="a3"/>
            <w:rFonts w:ascii="Times New Roman" w:hAnsi="Times New Roman" w:cs="Times New Roman"/>
            <w:sz w:val="28"/>
            <w:szCs w:val="28"/>
          </w:rPr>
          <w:t>https://www.erin.jpf.go.jp/en/</w:t>
        </w:r>
      </w:hyperlink>
    </w:p>
    <w:bookmarkEnd w:id="0"/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2E1E" w:rsidRPr="00F21B7A" w:rsidRDefault="00612E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612E1E" w:rsidRPr="00F21B7A" w:rsidRDefault="00612E1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lastRenderedPageBreak/>
        <w:t>Электронная почта.</w:t>
      </w:r>
      <w:r w:rsidRPr="00F21B7A">
        <w:rPr>
          <w:rFonts w:ascii="Times New Roman" w:hAnsi="Times New Roman" w:cs="Times New Roman"/>
          <w:sz w:val="28"/>
          <w:szCs w:val="28"/>
        </w:rPr>
        <w:t xml:space="preserve"> Коммуникация с преподавателем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:rsidR="00612E1E" w:rsidRPr="00F21B7A" w:rsidRDefault="00612E1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 xml:space="preserve">Обучающие видео. </w:t>
      </w:r>
      <w:r w:rsidRPr="00F21B7A">
        <w:rPr>
          <w:rFonts w:ascii="Times New Roman" w:hAnsi="Times New Roman" w:cs="Times New Roman"/>
          <w:sz w:val="28"/>
          <w:szCs w:val="28"/>
        </w:rPr>
        <w:t xml:space="preserve">К просмотру на занятиях и дома рекомендуются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влоги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и каналы пользователей </w:t>
      </w:r>
      <w:r w:rsidRPr="00F21B7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F21B7A">
        <w:rPr>
          <w:rFonts w:ascii="Times New Roman" w:hAnsi="Times New Roman" w:cs="Times New Roman"/>
          <w:sz w:val="28"/>
          <w:szCs w:val="28"/>
        </w:rPr>
        <w:t>, посвященные изучению японского языка (в частности, https://www.youtube.com/user/japanesepod101).</w:t>
      </w:r>
    </w:p>
    <w:p w:rsidR="00612E1E" w:rsidRPr="00F21B7A" w:rsidRDefault="00612E1E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F21B7A">
        <w:rPr>
          <w:rFonts w:ascii="Times New Roman" w:hAnsi="Times New Roman" w:cs="Times New Roman"/>
          <w:b/>
          <w:sz w:val="28"/>
          <w:szCs w:val="28"/>
        </w:rPr>
        <w:t>японоязычной</w:t>
      </w:r>
      <w:proofErr w:type="spellEnd"/>
      <w:r w:rsidRPr="00F21B7A">
        <w:rPr>
          <w:rFonts w:ascii="Times New Roman" w:hAnsi="Times New Roman" w:cs="Times New Roman"/>
          <w:b/>
          <w:sz w:val="28"/>
          <w:szCs w:val="28"/>
        </w:rPr>
        <w:t xml:space="preserve"> интернет-средой. </w:t>
      </w:r>
      <w:r w:rsidRPr="00F21B7A">
        <w:rPr>
          <w:rFonts w:ascii="Times New Roman" w:hAnsi="Times New Roman" w:cs="Times New Roman"/>
          <w:sz w:val="28"/>
          <w:szCs w:val="28"/>
        </w:rPr>
        <w:t>В 11 классе предполагается выполнение заданий, связанных с поиском информации на культурно значимых японских веб-сайтах.</w:t>
      </w:r>
    </w:p>
    <w:sectPr w:rsidR="00612E1E" w:rsidRPr="00F21B7A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9" w:hanging="180"/>
      </w:pPr>
    </w:lvl>
  </w:abstractNum>
  <w:abstractNum w:abstractNumId="6" w15:restartNumberingAfterBreak="0">
    <w:nsid w:val="00000007"/>
    <w:multiLevelType w:val="multilevel"/>
    <w:tmpl w:val="71DEAF6C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2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7E246A3"/>
    <w:multiLevelType w:val="hybridMultilevel"/>
    <w:tmpl w:val="9CC4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048F"/>
    <w:multiLevelType w:val="hybridMultilevel"/>
    <w:tmpl w:val="869C7D4A"/>
    <w:lvl w:ilvl="0" w:tplc="38BCE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98"/>
    <w:rsid w:val="00246FFE"/>
    <w:rsid w:val="00274C98"/>
    <w:rsid w:val="002F3FC9"/>
    <w:rsid w:val="003C26C7"/>
    <w:rsid w:val="005505E2"/>
    <w:rsid w:val="00612E1E"/>
    <w:rsid w:val="0079239B"/>
    <w:rsid w:val="008B5B2E"/>
    <w:rsid w:val="00935744"/>
    <w:rsid w:val="00945925"/>
    <w:rsid w:val="00947E63"/>
    <w:rsid w:val="00A56497"/>
    <w:rsid w:val="00AA77BF"/>
    <w:rsid w:val="00C74CE4"/>
    <w:rsid w:val="00EB0338"/>
    <w:rsid w:val="00F17048"/>
    <w:rsid w:val="00F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77366B7"/>
  <w15:chartTrackingRefBased/>
  <w15:docId w15:val="{62757390-0536-4B25-88BD-5651535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Заголовок Знак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  <w:sz w:val="24"/>
      <w:szCs w:val="24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msonormalcxspmiddle">
    <w:name w:val="msonormalcxspmiddle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9"/>
    <w:qFormat/>
    <w:pPr>
      <w:widowControl w:val="0"/>
      <w:shd w:val="clear" w:color="auto" w:fill="FFFFFF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paragraph" w:styleId="a9">
    <w:name w:val="Subtitle"/>
    <w:basedOn w:val="1"/>
    <w:next w:val="a5"/>
    <w:qFormat/>
    <w:pPr>
      <w:jc w:val="center"/>
    </w:pPr>
    <w:rPr>
      <w:i/>
      <w:iCs/>
    </w:rPr>
  </w:style>
  <w:style w:type="paragraph" w:customStyle="1" w:styleId="Default">
    <w:name w:val="Default"/>
    <w:basedOn w:val="a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74C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in.jpf.go.jp/en/" TargetMode="External"/><Relationship Id="rId5" Type="http://schemas.openxmlformats.org/officeDocument/2006/relationships/hyperlink" Target="https://www.irodori.jpf.go.jp/e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Links>
    <vt:vector size="12" baseType="variant">
      <vt:variant>
        <vt:i4>2818168</vt:i4>
      </vt:variant>
      <vt:variant>
        <vt:i4>3</vt:i4>
      </vt:variant>
      <vt:variant>
        <vt:i4>0</vt:i4>
      </vt:variant>
      <vt:variant>
        <vt:i4>5</vt:i4>
      </vt:variant>
      <vt:variant>
        <vt:lpwstr>https://www.erin.jpf.go.jp/en/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https://www.irodori.jpf.go.jp/en/index.html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Студент НИУ ВШЭ</cp:lastModifiedBy>
  <cp:revision>2</cp:revision>
  <cp:lastPrinted>1601-01-01T00:00:00Z</cp:lastPrinted>
  <dcterms:created xsi:type="dcterms:W3CDTF">2024-07-04T14:33:00Z</dcterms:created>
  <dcterms:modified xsi:type="dcterms:W3CDTF">2024-07-04T14:33:00Z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