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FA1C82" w:rsidRPr="00153935" w:rsidTr="006674E4">
        <w:tc>
          <w:tcPr>
            <w:tcW w:w="5778" w:type="dxa"/>
          </w:tcPr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A1C82" w:rsidRPr="00153935" w:rsidRDefault="00B36D2F" w:rsidP="006674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557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«Второй иностранный язык (</w:t>
      </w:r>
      <w:r w:rsidR="00B36D2F">
        <w:rPr>
          <w:rFonts w:ascii="Times New Roman" w:eastAsia="Times New Roman" w:hAnsi="Times New Roman" w:cs="Times New Roman"/>
          <w:bCs/>
          <w:sz w:val="26"/>
          <w:szCs w:val="26"/>
        </w:rPr>
        <w:t>японский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)»  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C82" w:rsidRPr="00153935" w:rsidRDefault="00B36D2F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Сукиасянц Н.Н.</w:t>
      </w:r>
    </w:p>
    <w:p w:rsidR="00FA1C82" w:rsidRDefault="00FA1C82" w:rsidP="00FA1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D2F" w:rsidRPr="00B36D2F" w:rsidRDefault="00B36D2F" w:rsidP="00B36D2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Личностные результаты отражают:</w:t>
      </w:r>
    </w:p>
    <w:p w:rsidR="00B36D2F" w:rsidRPr="00B36D2F" w:rsidRDefault="00B36D2F" w:rsidP="00B36D2F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B36D2F">
        <w:t>сформированность</w:t>
      </w:r>
      <w:proofErr w:type="spellEnd"/>
      <w:r w:rsidRPr="00B36D2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36D2F" w:rsidRPr="00B36D2F" w:rsidRDefault="00B36D2F" w:rsidP="00B36D2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36D2F" w:rsidRPr="00B36D2F" w:rsidRDefault="00B36D2F" w:rsidP="00B36D2F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</w:pPr>
      <w:r w:rsidRPr="00B36D2F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6D2F" w:rsidRPr="00B36D2F" w:rsidRDefault="00B36D2F" w:rsidP="00B36D2F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</w:pPr>
      <w:r w:rsidRPr="00B36D2F"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B36D2F" w:rsidRPr="00B36D2F" w:rsidRDefault="00B36D2F" w:rsidP="00B36D2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36D2F" w:rsidRPr="00B36D2F" w:rsidRDefault="00B36D2F" w:rsidP="00B36D2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результаты отражают:</w:t>
      </w:r>
    </w:p>
    <w:p w:rsidR="00B36D2F" w:rsidRPr="00B36D2F" w:rsidRDefault="00B36D2F" w:rsidP="00B36D2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36D2F" w:rsidRPr="00B36D2F" w:rsidRDefault="00B36D2F" w:rsidP="00B36D2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6D2F" w:rsidRPr="00B36D2F" w:rsidRDefault="00B36D2F" w:rsidP="00B36D2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Предметные результаты отражают:</w:t>
      </w:r>
    </w:p>
    <w:p w:rsidR="00B36D2F" w:rsidRPr="00B36D2F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36D2F" w:rsidRPr="00B36D2F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B36D2F" w:rsidRPr="00B36D2F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36D2F" w:rsidRPr="00B36D2F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36D2F" w:rsidRPr="00B36D2F" w:rsidRDefault="00B36D2F" w:rsidP="00B36D2F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6D2F" w:rsidRPr="00B36D2F" w:rsidRDefault="00B36D2F" w:rsidP="00B36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Основное содержание учебного предмета соответствует цели развития </w:t>
      </w:r>
      <w:r w:rsidRPr="00B36D2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компетенции и согласно тематике базового учебного пособия «Читаем, пишем, говорим по-японски» (уроки 1-25) 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>включает следующие темы: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Японская письменность. </w:t>
      </w:r>
      <w:proofErr w:type="spellStart"/>
      <w:r w:rsidRPr="00B36D2F">
        <w:rPr>
          <w:rFonts w:ascii="Times New Roman" w:hAnsi="Times New Roman" w:cs="Times New Roman"/>
          <w:sz w:val="24"/>
          <w:szCs w:val="24"/>
          <w:lang w:eastAsia="ja-JP"/>
        </w:rPr>
        <w:t>Хирагана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B36D2F">
        <w:rPr>
          <w:rFonts w:ascii="Times New Roman" w:hAnsi="Times New Roman" w:cs="Times New Roman"/>
          <w:sz w:val="24"/>
          <w:szCs w:val="24"/>
          <w:lang w:eastAsia="ja-JP"/>
        </w:rPr>
        <w:t>Катакана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>. Японская фонетика.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Японская письменность. Иероглифы. Лексика. Словообразование. Личные местоимения. Указательные местоимения. Вопросительные местоимения. Имя существительное. Утвердительное и вопросительное предложения. Отрицание. Тематическая частица ВА. Контактоустанавливающая частица НЭ. Показатель номинатива ГА. Показатель </w:t>
      </w:r>
      <w:proofErr w:type="gramStart"/>
      <w:r w:rsidRPr="00B36D2F">
        <w:rPr>
          <w:rFonts w:ascii="Times New Roman" w:hAnsi="Times New Roman" w:cs="Times New Roman"/>
          <w:sz w:val="24"/>
          <w:szCs w:val="24"/>
          <w:lang w:eastAsia="ja-JP"/>
        </w:rPr>
        <w:t>генитива</w:t>
      </w:r>
      <w:proofErr w:type="gram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НО. Соединительный союз ТО. Частица МО.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>Имя прилагательное. Предикативные и непредикативные прилагательные. Прилагательное в функции определения и сказуемого. Отрицательная форма прилагательного. Наречие.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Глагол. Нейтрально-вежливая форма в речи. Прошедшее и непрошедшее время. 1 и 2 спряжение глаголов. Исключения. Основы глаголов. Показатель аккузатива О. Показатель датива НИ. Показатель </w:t>
      </w:r>
      <w:proofErr w:type="spellStart"/>
      <w:r w:rsidRPr="00B36D2F">
        <w:rPr>
          <w:rFonts w:ascii="Times New Roman" w:hAnsi="Times New Roman" w:cs="Times New Roman"/>
          <w:sz w:val="24"/>
          <w:szCs w:val="24"/>
          <w:lang w:eastAsia="ja-JP"/>
        </w:rPr>
        <w:t>инструменталиса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ДЭ.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Количественные и порядковые числительные. Счетные суффиксы. Отрицательные формы прошедшего времени. Показатели КАРА и МАДЭ. Обозначение времени суток и промежутка времени. Атрибуты. Обозначение даты. 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Срединные формы прилагательных. Приглашение к совместному действию. Придаточные предложения со значением причины. Союз КА. Обозначение возраста. 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>Сравнение признаков. Степень признака. Глагол НАРУ. Глаголы нахождения АРУ и ИРУ. Отыменные послелоги. Обобщающие и отрицательные местоимения. Определительные придаточные предложения. Срединные формы глаголов. Повелительное наклонение. Обозначение дня недели.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>Условно-временные придаточные предложения с союзом ТО. Придаточные предложения с союзами МАЭ и АТО. Выражение степени уверенности. Длительный вид глагола. Вспомогательный глагол МИРУ. Сочинительный союз ГА.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Выражение долженствования. Субстантивация. Двойной падеж. Выражение желания. Выражение разрешения и запрета.</w:t>
      </w:r>
    </w:p>
    <w:p w:rsidR="00B36D2F" w:rsidRPr="00B36D2F" w:rsidRDefault="00B36D2F" w:rsidP="00B36D2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Простые формы существительных и прилагательных. Глаголы мышления и говорения. Союз Я. Показатель одновременности НАГАРА. Форма глагола на –ТАРИ. Устойчивая грамматическая конструкция КОТО ГА АРУ. Условно-временные придаточные предложения с формой на -ТАРА. Выражение намерения. </w:t>
      </w:r>
      <w:proofErr w:type="spellStart"/>
      <w:r w:rsidRPr="00B36D2F">
        <w:rPr>
          <w:rFonts w:ascii="Times New Roman" w:hAnsi="Times New Roman" w:cs="Times New Roman"/>
          <w:sz w:val="24"/>
          <w:szCs w:val="24"/>
          <w:lang w:eastAsia="ja-JP"/>
        </w:rPr>
        <w:t>Потенциалис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>. Уступительные конструкции. Придаточные предложения со значением времени. Вспомогательные глаголы завершенности действия ОКУ и СИМАУ. Условные формы на –БА. Выражение совета. Вспомогательные глаголы ИКУ и КУРУ.</w:t>
      </w:r>
    </w:p>
    <w:p w:rsidR="00B36D2F" w:rsidRPr="00B36D2F" w:rsidRDefault="00B36D2F" w:rsidP="00B36D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2F" w:rsidRPr="00B36D2F" w:rsidRDefault="00B36D2F" w:rsidP="00B36D2F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36D2F" w:rsidRPr="00B36D2F" w:rsidRDefault="00B36D2F" w:rsidP="00B36D2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Согласно тематике базового учебного пособия «Читаем, пишем, говорим по-японски» (уроки 1-25).</w:t>
      </w:r>
    </w:p>
    <w:p w:rsidR="00B36D2F" w:rsidRPr="00B36D2F" w:rsidRDefault="00B36D2F" w:rsidP="00B36D2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1-й год обучения</w:t>
      </w:r>
    </w:p>
    <w:p w:rsidR="00B36D2F" w:rsidRPr="00B36D2F" w:rsidRDefault="00B36D2F" w:rsidP="00B36D2F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 170)</w:t>
            </w:r>
          </w:p>
        </w:tc>
        <w:tc>
          <w:tcPr>
            <w:tcW w:w="308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Звуки и буквы. А и КА.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Merge w:val="restart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Для каждого урока базового учебного пособия используется следующая схема работы: проработка новых иероглифов в 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уроку. В качестве дополнительных материалов привлекаются лексика, тексты, упражнения из японских учебных пособий; обучающие видео; песни на японском языке; «живые» учебные материалы и т.д.</w:t>
            </w:r>
          </w:p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Из каждого урока дополнительного учебного пособия прорабатывается и разыгрывается по ролям диалог.</w:t>
            </w: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СА и ТА.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НА и ХА.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МА и Я.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РА и ВА.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азбуке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6 - Что это?</w:t>
            </w:r>
          </w:p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(Имя существительное, вопросительные и указательные местоимения, связки наст. </w:t>
            </w:r>
            <w:proofErr w:type="spellStart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.,  частицы ВА, МО, НЭ, КА.)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6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7 - Что это за картина?</w:t>
            </w:r>
          </w:p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6D2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Показатель генитива НО, местоимения КОНО, СОНО, АНО, ДОНО, словообразование)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7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8 - Та гостиница дорогая?</w:t>
            </w:r>
          </w:p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6D2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Имя прилагательное, показатель местонахождения НИ, наречия, противительный союз ДЭМО)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8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Повторение уроков 1-8 и промежуточный контроль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9 - Что ты сегодня будешь делать?</w:t>
            </w:r>
          </w:p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(Глаголы – формы наст. и </w:t>
            </w:r>
            <w:proofErr w:type="spellStart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, утв. и </w:t>
            </w:r>
            <w:proofErr w:type="spellStart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. формы, показатель винительного падежа О,  показатели НИ, ДЭ, ТО)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9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10 - Сколько книг ты купил?</w:t>
            </w:r>
          </w:p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(Количественные и порядковые числительные, счётные суффиксы.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10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Урок 11 - Со </w:t>
            </w:r>
            <w:proofErr w:type="spellStart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 и до </w:t>
            </w:r>
            <w:proofErr w:type="spellStart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 у тебя занятия?</w:t>
            </w:r>
          </w:p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6D2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Отрицательные формы прошедшего времени. Показатели КАРА и МАДЭ. Обозначение времени суток и промежутка времени. Причинный союз ДЭСУКАРА)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11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Урок 12 - </w:t>
            </w:r>
            <w:proofErr w:type="spellStart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Ханако</w:t>
            </w:r>
            <w:proofErr w:type="spellEnd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, что ты любишь?</w:t>
            </w:r>
          </w:p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(Описание предмета по его признаку – предложения типа …ВА…ГА…ДЭСУ. Прош. форма прилагательных. Тематическая частица ВА. </w:t>
            </w:r>
            <w:r w:rsidRPr="00B36D2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Обозначение даты.</w:t>
            </w: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12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13 - Давай вместе пойдем куда-нибудь? (</w:t>
            </w:r>
            <w:r w:rsidRPr="00B36D2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Срединные формы прилагательных. Приглашение к </w:t>
            </w:r>
            <w:r w:rsidRPr="00B36D2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совместному действию. Придаточные предложения со значением причины. Союз КА. Обозначение возраста )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13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14 - Что легче: японский язык или английский?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14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Повторение уроков 9-14 и итоговый контроль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2F" w:rsidRPr="00B36D2F" w:rsidRDefault="00B36D2F" w:rsidP="00B36D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08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2-й год обучения</w:t>
      </w:r>
    </w:p>
    <w:p w:rsidR="00B36D2F" w:rsidRPr="00B36D2F" w:rsidRDefault="00B36D2F" w:rsidP="00B36D2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D2F" w:rsidRPr="00B36D2F" w:rsidRDefault="00B36D2F" w:rsidP="00B3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 170)</w:t>
            </w:r>
          </w:p>
        </w:tc>
        <w:tc>
          <w:tcPr>
            <w:tcW w:w="308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Для каждого урока базового учебного пособия используется следующая схема работы: проработка новых иероглифов в 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уроку. В качестве дополнительных материалов привлекаются лексика, тексты, упражнения из японских учебных пособий; обучающие видео; песни на японском языке; «живые» учебные материалы и т.д.</w:t>
            </w:r>
          </w:p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Из каждого урока дополнительного учебного пособия прорабатывается и разыгрывается по ролям диалог.</w:t>
            </w: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15 - Что есть? Кто есть?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15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16 - Занятия с какого по какой месяцы?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16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17 - Если идти пешком, сколько минут займет?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17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 xml:space="preserve">Урок 18 - </w:t>
            </w:r>
            <w:proofErr w:type="spellStart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Митико</w:t>
            </w:r>
            <w:proofErr w:type="spellEnd"/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, что ты делаешь?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18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19 - Нужно прочитать к завтрашнему дню?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19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20 - Можно писать ручкой?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20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Повторение уроков 15-19 и промежуточный контроль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21 - Чего ты хочешь?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21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22 - Как ты думаешь, он студент?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22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23 - Ты когда-нибудь играл в компьютерные игры?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23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Урок 24 - Ты умеешь писать иероглифы?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уроку 24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Повторение уроков 20-24 и итоговый контроль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Merge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F" w:rsidRPr="00B36D2F" w:rsidTr="002F24D6">
        <w:tc>
          <w:tcPr>
            <w:tcW w:w="675" w:type="dxa"/>
          </w:tcPr>
          <w:p w:rsidR="00B36D2F" w:rsidRPr="00B36D2F" w:rsidRDefault="00B36D2F" w:rsidP="00B36D2F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D2F" w:rsidRPr="00B36D2F" w:rsidRDefault="00B36D2F" w:rsidP="00B36D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2F" w:rsidRPr="00B36D2F" w:rsidRDefault="00B36D2F" w:rsidP="00B36D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2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085" w:type="dxa"/>
          </w:tcPr>
          <w:p w:rsidR="00B36D2F" w:rsidRPr="00B36D2F" w:rsidRDefault="00B36D2F" w:rsidP="00B36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lastRenderedPageBreak/>
        <w:t xml:space="preserve">— опыт дел, направленных на заботу о своей семье, родных и близких; 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>— трудовой опыт, опыт участия в производственной практике;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>— опыт природоохранных дел;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>или на улице;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B36D2F" w:rsidRPr="00B36D2F" w:rsidRDefault="00B36D2F" w:rsidP="00B36D2F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36D2F">
        <w:rPr>
          <w:rFonts w:ascii="Times New Roman" w:hAnsi="Times New Roman" w:cs="Times New Roman"/>
          <w:position w:val="6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B36D2F" w:rsidRPr="00B36D2F" w:rsidRDefault="00B36D2F" w:rsidP="00B36D2F">
      <w:pPr>
        <w:pStyle w:val="ConsPlusNormal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6D2F" w:rsidRPr="00B36D2F" w:rsidRDefault="00B36D2F" w:rsidP="00B36D2F">
      <w:pPr>
        <w:pStyle w:val="ConsPlusNormal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:rsidR="00B36D2F" w:rsidRPr="00B36D2F" w:rsidRDefault="00B36D2F" w:rsidP="00B36D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6D2F" w:rsidRPr="00B36D2F" w:rsidRDefault="00B36D2F" w:rsidP="00B36D2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6D2F" w:rsidRPr="00B36D2F" w:rsidRDefault="00B36D2F" w:rsidP="00B36D2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D2F" w:rsidRPr="00B36D2F" w:rsidRDefault="00B36D2F" w:rsidP="00B36D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Основной функцией языка является коммуникация. При 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нативными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ненативными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многочисленные цели личностного развития и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цели, основные из которых представлены ниже</w:t>
      </w:r>
    </w:p>
    <w:p w:rsidR="00B36D2F" w:rsidRPr="00B36D2F" w:rsidRDefault="00B36D2F" w:rsidP="00B36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Изучение языка как профориентация.</w:t>
      </w:r>
      <w:r w:rsidRPr="00B36D2F">
        <w:rPr>
          <w:rFonts w:ascii="Times New Roman" w:hAnsi="Times New Roman" w:cs="Times New Roman"/>
          <w:sz w:val="24"/>
          <w:szCs w:val="24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Изучение языка как универсальная модель работы с личной мотивацией.</w:t>
      </w:r>
      <w:r w:rsidRPr="00B36D2F">
        <w:rPr>
          <w:rFonts w:ascii="Times New Roman" w:hAnsi="Times New Roman" w:cs="Times New Roman"/>
          <w:sz w:val="24"/>
          <w:szCs w:val="24"/>
        </w:rPr>
        <w:t xml:space="preserve"> В процессе изучения японского языка, учащиеся осваивают навыки тайм-менеджмента, необходимые для выполнения трудоемких заданий, развивают самодисциплину, учатся контролировать свое психологическое состояние в контексте продуктивности и ориентации как на процесс, так и на результат деятельности.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 xml:space="preserve">Изучение языка как тренировка интеллекта. </w:t>
      </w:r>
      <w:r w:rsidRPr="00B36D2F">
        <w:rPr>
          <w:rFonts w:ascii="Times New Roman" w:hAnsi="Times New Roman" w:cs="Times New Roman"/>
          <w:sz w:val="24"/>
          <w:szCs w:val="24"/>
        </w:rPr>
        <w:t xml:space="preserve">Достижения современной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свидетельствуют, что изучение иностранных языков улучшает когнитивные способности.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</w:t>
      </w:r>
      <w:r w:rsidRPr="00B36D2F">
        <w:rPr>
          <w:rFonts w:ascii="Times New Roman" w:hAnsi="Times New Roman" w:cs="Times New Roman"/>
          <w:sz w:val="24"/>
          <w:szCs w:val="24"/>
        </w:rPr>
        <w:lastRenderedPageBreak/>
        <w:t>иероглифику (в официальном списке иероглифов, необходимых в повседневной жизни, опубликованном правительством Японии, содержится 2136 иероглифов), две азбуки (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хирагана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катакана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>). Наиболее привычным способом письма и чтения для носителей является вертикальное письмо справа налево.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Изучение языка как воспитание толерантности.</w:t>
      </w:r>
      <w:r w:rsidRPr="00B36D2F">
        <w:rPr>
          <w:rFonts w:ascii="Times New Roman" w:hAnsi="Times New Roman" w:cs="Times New Roman"/>
          <w:sz w:val="24"/>
          <w:szCs w:val="24"/>
        </w:rPr>
        <w:t xml:space="preserve"> Японский язык является ярчайшим отражением японской культуры и образа мыслей. С самых первых дней обучения учащиеся сталкиваются с непривычными понятиями, этикетными ритуалами и языковыми клише, учась эффективной коммуникации,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>, умению понять ментальность, настроение, намерения другого человека, представителя иной культуры.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Изучение языка как опыт встречи с Другим.</w:t>
      </w:r>
      <w:r w:rsidRPr="00B36D2F">
        <w:rPr>
          <w:rFonts w:ascii="Times New Roman" w:hAnsi="Times New Roman" w:cs="Times New Roman"/>
          <w:sz w:val="24"/>
          <w:szCs w:val="24"/>
        </w:rPr>
        <w:t xml:space="preserve"> Изучение японского языка и культуры развивают способности и стремления, учащихся к осознанию места русского языка и российской культуры в мире. Япония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B36D2F" w:rsidRPr="00B36D2F" w:rsidRDefault="00B36D2F" w:rsidP="00B36D2F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Изучение дисциплины «Японский язык» предполагает 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>три основных компонента: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Работа с учебным пособием. 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>На занятиях в Лицее и при выполнении домашних заданий учащиеся используют учебно-методические комплекты, изданные в России и Японии.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b/>
          <w:sz w:val="24"/>
          <w:szCs w:val="24"/>
          <w:lang w:eastAsia="ja-JP"/>
        </w:rPr>
        <w:t>Работа с медиа-ресурсами.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Важной составляющей аудиторной и внеаудиторной работы является погружение в языковую среду при помощи современных технологий и знакомства с «живыми» реалиями (яп. </w:t>
      </w:r>
      <w:proofErr w:type="spellStart"/>
      <w:r w:rsidRPr="00B36D2F">
        <w:rPr>
          <w:rFonts w:ascii="Times New Roman" w:hAnsi="Times New Roman" w:cs="Times New Roman"/>
          <w:i/>
          <w:sz w:val="24"/>
          <w:szCs w:val="24"/>
          <w:lang w:val="en-US" w:eastAsia="ja-JP"/>
        </w:rPr>
        <w:t>nama</w:t>
      </w:r>
      <w:proofErr w:type="spellEnd"/>
      <w:r w:rsidRPr="00B36D2F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36D2F">
        <w:rPr>
          <w:rFonts w:ascii="Times New Roman" w:hAnsi="Times New Roman" w:cs="Times New Roman"/>
          <w:i/>
          <w:sz w:val="24"/>
          <w:szCs w:val="24"/>
          <w:lang w:val="en-US" w:eastAsia="ja-JP"/>
        </w:rPr>
        <w:t>ky</w:t>
      </w:r>
      <w:proofErr w:type="spellEnd"/>
      <w:r w:rsidRPr="00B36D2F">
        <w:rPr>
          <w:rFonts w:ascii="Times New Roman" w:hAnsi="Times New Roman" w:cs="Times New Roman"/>
          <w:i/>
          <w:sz w:val="24"/>
          <w:szCs w:val="24"/>
          <w:lang w:eastAsia="ja-JP"/>
        </w:rPr>
        <w:t>ō</w:t>
      </w:r>
      <w:proofErr w:type="spellStart"/>
      <w:r w:rsidRPr="00B36D2F">
        <w:rPr>
          <w:rFonts w:ascii="Times New Roman" w:hAnsi="Times New Roman" w:cs="Times New Roman"/>
          <w:i/>
          <w:sz w:val="24"/>
          <w:szCs w:val="24"/>
          <w:lang w:val="en-US" w:eastAsia="ja-JP"/>
        </w:rPr>
        <w:t>zai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>) японской культуры: рекламными буклетами, книгами, предметами быта, эстрадными песнями, кинофильмами и т.д.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Культурная программа. 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В течение двух лет обучения предполагается посещение учащимися в сопровождении преподавателя культурных мероприятий и мест, связанных с японской культурой: </w:t>
      </w:r>
    </w:p>
    <w:p w:rsidR="00B36D2F" w:rsidRPr="00B36D2F" w:rsidRDefault="00B36D2F" w:rsidP="00B36D2F">
      <w:pPr>
        <w:pStyle w:val="ConsPlusNormal"/>
        <w:numPr>
          <w:ilvl w:val="1"/>
          <w:numId w:val="16"/>
        </w:numPr>
        <w:ind w:left="284" w:hanging="305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>ежегодного фестиваля японского кино, организуемого Японским фондом (10, 11 класс),</w:t>
      </w:r>
    </w:p>
    <w:p w:rsidR="00B36D2F" w:rsidRPr="00B36D2F" w:rsidRDefault="00B36D2F" w:rsidP="00B36D2F">
      <w:pPr>
        <w:pStyle w:val="ConsPlusNormal"/>
        <w:numPr>
          <w:ilvl w:val="1"/>
          <w:numId w:val="16"/>
        </w:numPr>
        <w:ind w:left="284" w:hanging="305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>Государственного музея искусства народов Востока (экспозиция «Япония» и др. залы музея) (10 класс),</w:t>
      </w:r>
    </w:p>
    <w:p w:rsidR="00B36D2F" w:rsidRPr="00B36D2F" w:rsidRDefault="00B36D2F" w:rsidP="00B36D2F">
      <w:pPr>
        <w:pStyle w:val="ConsPlusNormal"/>
        <w:numPr>
          <w:ilvl w:val="1"/>
          <w:numId w:val="16"/>
        </w:numPr>
        <w:ind w:left="284" w:hanging="305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>ресторана аутентичной японской кухни (</w:t>
      </w:r>
      <w:proofErr w:type="spellStart"/>
      <w:r w:rsidRPr="00B36D2F">
        <w:rPr>
          <w:rFonts w:ascii="Times New Roman" w:hAnsi="Times New Roman" w:cs="Times New Roman"/>
          <w:sz w:val="24"/>
          <w:szCs w:val="24"/>
          <w:lang w:eastAsia="ja-JP"/>
        </w:rPr>
        <w:t>Марукамэ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B36D2F">
        <w:rPr>
          <w:rFonts w:ascii="Times New Roman" w:hAnsi="Times New Roman" w:cs="Times New Roman"/>
          <w:sz w:val="24"/>
          <w:szCs w:val="24"/>
          <w:lang w:val="en-US" w:eastAsia="ja-JP"/>
        </w:rPr>
        <w:t>Ichiban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6D2F">
        <w:rPr>
          <w:rFonts w:ascii="Times New Roman" w:hAnsi="Times New Roman" w:cs="Times New Roman"/>
          <w:sz w:val="24"/>
          <w:szCs w:val="24"/>
          <w:lang w:val="en-US" w:eastAsia="ja-JP"/>
        </w:rPr>
        <w:t>Boshi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>, Ю-</w:t>
      </w:r>
      <w:proofErr w:type="spellStart"/>
      <w:r w:rsidRPr="00B36D2F">
        <w:rPr>
          <w:rFonts w:ascii="Times New Roman" w:hAnsi="Times New Roman" w:cs="Times New Roman"/>
          <w:sz w:val="24"/>
          <w:szCs w:val="24"/>
          <w:lang w:eastAsia="ja-JP"/>
        </w:rPr>
        <w:t>Мэ</w:t>
      </w:r>
      <w:proofErr w:type="spellEnd"/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и др.)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B36D2F" w:rsidRPr="00B36D2F" w:rsidRDefault="00B36D2F" w:rsidP="00B36D2F">
      <w:pPr>
        <w:pStyle w:val="ConsPlusNormal"/>
        <w:ind w:left="178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  <w:lang w:eastAsia="ja-JP"/>
        </w:rPr>
        <w:t>Также предполагается проведение праздничного концерта, посвященного восточным культурам (сценки, песни, декламация, танцевальные номера) (10 и 11 классы).</w:t>
      </w:r>
    </w:p>
    <w:p w:rsidR="00B36D2F" w:rsidRPr="00B36D2F" w:rsidRDefault="00B36D2F" w:rsidP="00B36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данного предмета, учащиеся достигают уровня владения языком А2 (по классификации Японского фонда, соответствующей </w:t>
      </w:r>
      <w:r w:rsidRPr="00B36D2F">
        <w:rPr>
          <w:rFonts w:ascii="Times New Roman" w:hAnsi="Times New Roman" w:cs="Times New Roman"/>
          <w:sz w:val="24"/>
          <w:szCs w:val="24"/>
          <w:lang w:val="en-US"/>
        </w:rPr>
        <w:t>CEFR</w:t>
      </w:r>
      <w:r w:rsidRPr="00B36D2F">
        <w:rPr>
          <w:rFonts w:ascii="Times New Roman" w:hAnsi="Times New Roman" w:cs="Times New Roman"/>
          <w:sz w:val="24"/>
          <w:szCs w:val="24"/>
        </w:rPr>
        <w:t>)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. ЕГЭ по японскому языку не сдается. Возможна сдача экзамена </w:t>
      </w:r>
      <w:r w:rsidRPr="00B36D2F">
        <w:rPr>
          <w:rFonts w:ascii="Times New Roman" w:hAnsi="Times New Roman" w:cs="Times New Roman"/>
          <w:sz w:val="24"/>
          <w:szCs w:val="24"/>
          <w:lang w:val="en-US" w:eastAsia="ja-JP"/>
        </w:rPr>
        <w:t>JLPT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 xml:space="preserve"> на уровень </w:t>
      </w:r>
      <w:r w:rsidRPr="00B36D2F">
        <w:rPr>
          <w:rFonts w:ascii="Times New Roman" w:hAnsi="Times New Roman" w:cs="Times New Roman"/>
          <w:sz w:val="24"/>
          <w:szCs w:val="24"/>
          <w:lang w:val="en-US" w:eastAsia="ja-JP"/>
        </w:rPr>
        <w:t>N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>5 (международный сертификат).</w:t>
      </w:r>
    </w:p>
    <w:p w:rsidR="00B36D2F" w:rsidRPr="00B36D2F" w:rsidRDefault="00B36D2F" w:rsidP="00B36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36D2F" w:rsidRPr="00B36D2F" w:rsidRDefault="00B36D2F" w:rsidP="00B36D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Японский язык изучается в 10 и 11 классах. В учебном плане отводится 5 аудиторных часов еженедельно, 170 часов в течение года.</w:t>
      </w:r>
    </w:p>
    <w:p w:rsidR="00B36D2F" w:rsidRPr="00B36D2F" w:rsidRDefault="00B36D2F" w:rsidP="00B36D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6D2F" w:rsidRPr="00B36D2F" w:rsidRDefault="00B36D2F" w:rsidP="00B36D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В качестве базового УМК используется учебное пособие: 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Стругова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, Н.С. Шефтелевич. </w:t>
      </w:r>
      <w:r w:rsidRPr="00B36D2F">
        <w:rPr>
          <w:rFonts w:ascii="Times New Roman" w:hAnsi="Times New Roman" w:cs="Times New Roman"/>
          <w:i/>
          <w:sz w:val="24"/>
          <w:szCs w:val="24"/>
        </w:rPr>
        <w:t>Читаем, пишем, говорим по-японски</w:t>
      </w:r>
      <w:r w:rsidRPr="00B36D2F">
        <w:rPr>
          <w:rFonts w:ascii="Times New Roman" w:hAnsi="Times New Roman" w:cs="Times New Roman"/>
          <w:sz w:val="24"/>
          <w:szCs w:val="24"/>
        </w:rPr>
        <w:t xml:space="preserve">. М., 2015. 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Данный комплект включает 2 книги, содержащие основы грамматики, письменности, фонетики японского языка, упражнения и т.д.; прописи для отработки письменности; два компакт-диска, содержащих аудиоматериалы к урокам из книг. 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>Учебник содержит 31 урок, за 10 и 11 классы планируются к изучению уроки с 1 по 25.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Дополнительные учебные пособия: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lastRenderedPageBreak/>
        <w:t>Нечаева Л.Т. Японский язык для начинающих. Ч. 1, 2. (</w:t>
      </w:r>
      <w:proofErr w:type="gramStart"/>
      <w:r w:rsidRPr="00B36D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аудиокурсом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). М.: Московский лицей, 2002.  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Судзуки С.,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Кавасэ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Нихонго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сёхо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. (Первые шаги в японском языке). Токио: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Бондзинся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>, 1989.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Танака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Ё.,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Макино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Сигэкава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Микогами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Исии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Т. и др.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Минна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-но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нихонго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сёкю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>. (Японский язык для всех: начальный уровень 1). Токио: 3</w:t>
      </w:r>
      <w:r w:rsidRPr="00B36D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6D2F">
        <w:rPr>
          <w:rFonts w:ascii="Times New Roman" w:hAnsi="Times New Roman" w:cs="Times New Roman"/>
          <w:sz w:val="24"/>
          <w:szCs w:val="24"/>
        </w:rPr>
        <w:t xml:space="preserve"> </w:t>
      </w:r>
      <w:r w:rsidRPr="00B36D2F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B36D2F">
        <w:rPr>
          <w:rFonts w:ascii="Times New Roman" w:hAnsi="Times New Roman" w:cs="Times New Roman"/>
          <w:sz w:val="24"/>
          <w:szCs w:val="24"/>
        </w:rPr>
        <w:t>, 2001.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B36D2F" w:rsidRPr="00B36D2F" w:rsidRDefault="00B36D2F" w:rsidP="00B36D2F">
      <w:pPr>
        <w:pStyle w:val="ConsPlusNormal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6D2F">
        <w:rPr>
          <w:rFonts w:ascii="Times New Roman" w:hAnsi="Times New Roman" w:cs="Times New Roman"/>
          <w:b/>
          <w:sz w:val="24"/>
          <w:szCs w:val="24"/>
        </w:rPr>
        <w:t>Электронная почта.</w:t>
      </w:r>
      <w:r w:rsidRPr="00B36D2F">
        <w:rPr>
          <w:rFonts w:ascii="Times New Roman" w:hAnsi="Times New Roman" w:cs="Times New Roman"/>
          <w:sz w:val="24"/>
          <w:szCs w:val="24"/>
        </w:rPr>
        <w:t xml:space="preserve"> 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B36D2F" w:rsidRPr="00B36D2F" w:rsidRDefault="00B36D2F" w:rsidP="00B36D2F">
      <w:pPr>
        <w:pStyle w:val="ConsPlusNormal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 xml:space="preserve">Обучающие видео. </w:t>
      </w:r>
      <w:r w:rsidRPr="00B36D2F">
        <w:rPr>
          <w:rFonts w:ascii="Times New Roman" w:hAnsi="Times New Roman" w:cs="Times New Roman"/>
          <w:sz w:val="24"/>
          <w:szCs w:val="24"/>
        </w:rPr>
        <w:t xml:space="preserve">К просмотру на занятиях и дома рекомендуются </w:t>
      </w: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влоги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и каналы пользователей </w:t>
      </w:r>
      <w:r w:rsidRPr="00B36D2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>, посвященные изучению японского языка (в частности, https://www.youtube.com/user/japanesepod101).</w:t>
      </w:r>
    </w:p>
    <w:p w:rsidR="00B36D2F" w:rsidRPr="00B36D2F" w:rsidRDefault="00B36D2F" w:rsidP="00B36D2F">
      <w:pPr>
        <w:pStyle w:val="ConsPlusNormal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B36D2F">
        <w:rPr>
          <w:rFonts w:ascii="Times New Roman" w:hAnsi="Times New Roman" w:cs="Times New Roman"/>
          <w:b/>
          <w:sz w:val="24"/>
          <w:szCs w:val="24"/>
        </w:rPr>
        <w:t>японоязычной</w:t>
      </w:r>
      <w:proofErr w:type="spellEnd"/>
      <w:r w:rsidRPr="00B36D2F">
        <w:rPr>
          <w:rFonts w:ascii="Times New Roman" w:hAnsi="Times New Roman" w:cs="Times New Roman"/>
          <w:b/>
          <w:sz w:val="24"/>
          <w:szCs w:val="24"/>
        </w:rPr>
        <w:t xml:space="preserve"> интернет-средой.</w:t>
      </w:r>
      <w:r w:rsidRPr="00B36D2F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B36D2F">
        <w:rPr>
          <w:rFonts w:ascii="Times New Roman" w:hAnsi="Times New Roman" w:cs="Times New Roman"/>
          <w:sz w:val="24"/>
          <w:szCs w:val="24"/>
          <w:lang w:eastAsia="ja-JP"/>
        </w:rPr>
        <w:t>В 11 классе предполагается выполнение заданий, связанных с поиском информации на культурно значимых японских веб-сайтах.</w:t>
      </w:r>
    </w:p>
    <w:bookmarkEnd w:id="0"/>
    <w:p w:rsidR="00D144D5" w:rsidRPr="00B36D2F" w:rsidRDefault="00D144D5" w:rsidP="00B36D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44D5" w:rsidRPr="00B3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18"/>
  </w:num>
  <w:num w:numId="18">
    <w:abstractNumId w:val="16"/>
  </w:num>
  <w:num w:numId="19">
    <w:abstractNumId w:val="17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D2F"/>
    <w:rsid w:val="00B36E99"/>
    <w:rsid w:val="00B8322E"/>
    <w:rsid w:val="00B953FA"/>
    <w:rsid w:val="00B955C2"/>
    <w:rsid w:val="00BB3DA3"/>
    <w:rsid w:val="00BC399C"/>
    <w:rsid w:val="00C03D7E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9A9B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5B1D-59A1-49CF-A983-C23B054B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2</cp:revision>
  <cp:lastPrinted>2018-09-02T04:19:00Z</cp:lastPrinted>
  <dcterms:created xsi:type="dcterms:W3CDTF">2023-05-12T13:10:00Z</dcterms:created>
  <dcterms:modified xsi:type="dcterms:W3CDTF">2023-05-12T13:10:00Z</dcterms:modified>
</cp:coreProperties>
</file>