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tbl>
      <w:tblPr>
        <w:tblStyle w:val="aff6"/>
        <w:tblW w:w="104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653"/>
      </w:tblGrid>
      <w:tr w:rsidR="00CF647E" w:rsidTr="002344AD">
        <w:tc>
          <w:tcPr>
            <w:tcW w:w="5778" w:type="dxa"/>
          </w:tcPr>
          <w:p w:rsidR="00CF647E" w:rsidRPr="003A55A3" w:rsidRDefault="000A02BE" w:rsidP="003A55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Chars="0" w:left="0" w:firstLineChars="0" w:firstLine="0"/>
              <w:jc w:val="left"/>
              <w:rPr>
                <w:b/>
                <w:color w:val="000000"/>
              </w:rPr>
            </w:pPr>
            <w:r w:rsidRPr="003A55A3">
              <w:rPr>
                <w:b/>
                <w:color w:val="000000"/>
              </w:rPr>
              <w:t xml:space="preserve">Национальный </w:t>
            </w:r>
          </w:p>
          <w:p w:rsidR="00CF647E" w:rsidRPr="003A55A3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3A55A3">
              <w:rPr>
                <w:b/>
                <w:color w:val="000000"/>
              </w:rPr>
              <w:t xml:space="preserve">исследовательский университет </w:t>
            </w:r>
          </w:p>
          <w:p w:rsidR="00CF647E" w:rsidRPr="003A55A3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3A55A3">
              <w:rPr>
                <w:b/>
                <w:color w:val="000000"/>
              </w:rPr>
              <w:t>«Высшая школа экономики»</w:t>
            </w:r>
          </w:p>
          <w:p w:rsidR="00CF647E" w:rsidRPr="003A55A3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</w:p>
          <w:p w:rsidR="00CF647E" w:rsidRPr="003A55A3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b/>
                <w:color w:val="000000"/>
              </w:rPr>
            </w:pPr>
            <w:r w:rsidRPr="003A55A3">
              <w:rPr>
                <w:b/>
                <w:color w:val="000000"/>
              </w:rPr>
              <w:t>Лицей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 w:rsidR="002344AD">
              <w:rPr>
                <w:b/>
                <w:color w:val="000000"/>
                <w:sz w:val="28"/>
                <w:szCs w:val="28"/>
              </w:rPr>
              <w:t>335</w:t>
            </w:r>
          </w:p>
          <w:p w:rsidR="00CF647E" w:rsidRPr="002344AD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color w:val="000000"/>
                <w:sz w:val="28"/>
                <w:szCs w:val="28"/>
              </w:rPr>
              <w:t>УТВЕРЖДЕНО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 xml:space="preserve">педагогическим советом 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>Лицея НИУ ВШЭ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 xml:space="preserve">протокол </w:t>
            </w:r>
            <w:r w:rsidR="002344AD" w:rsidRPr="002344AD">
              <w:rPr>
                <w:color w:val="000000"/>
              </w:rPr>
              <w:t>№15 от 22.08.2019г.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CF647E" w:rsidRPr="003A55A3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</w:rPr>
      </w:pPr>
    </w:p>
    <w:p w:rsidR="00CF647E" w:rsidRPr="003A55A3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3A55A3">
        <w:rPr>
          <w:b/>
          <w:color w:val="000000"/>
        </w:rPr>
        <w:t xml:space="preserve">Рабочая программа </w:t>
      </w:r>
      <w:r w:rsidR="003A55A3" w:rsidRPr="003A55A3">
        <w:rPr>
          <w:b/>
          <w:color w:val="000000"/>
        </w:rPr>
        <w:t>учебного предмета (курса</w:t>
      </w:r>
      <w:r w:rsidRPr="003A55A3">
        <w:rPr>
          <w:b/>
          <w:color w:val="000000"/>
        </w:rPr>
        <w:t>)</w:t>
      </w:r>
    </w:p>
    <w:p w:rsidR="00CF647E" w:rsidRPr="003A55A3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3A55A3">
        <w:rPr>
          <w:b/>
          <w:color w:val="000000"/>
        </w:rPr>
        <w:t xml:space="preserve">«Проектный и научно-исследовательский семинар» </w:t>
      </w:r>
    </w:p>
    <w:p w:rsidR="00CF647E" w:rsidRPr="003A55A3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3A55A3">
        <w:rPr>
          <w:b/>
          <w:color w:val="000000"/>
        </w:rPr>
        <w:t>10 -11 класс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bookmarkStart w:id="0" w:name="_GoBack"/>
    </w:p>
    <w:bookmarkEnd w:id="0"/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Pr="003A55A3" w:rsidRDefault="003A55A3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b/>
          <w:color w:val="000000"/>
          <w:sz w:val="28"/>
          <w:szCs w:val="28"/>
        </w:rPr>
      </w:pPr>
      <w:r w:rsidRPr="003A55A3">
        <w:rPr>
          <w:b/>
          <w:color w:val="000000"/>
          <w:sz w:val="28"/>
          <w:szCs w:val="28"/>
        </w:rPr>
        <w:t>Авторы</w:t>
      </w:r>
      <w:r w:rsidR="000A02BE" w:rsidRPr="003A55A3">
        <w:rPr>
          <w:b/>
          <w:color w:val="000000"/>
          <w:sz w:val="28"/>
          <w:szCs w:val="28"/>
        </w:rPr>
        <w:t>: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Кодзокова</w:t>
      </w:r>
      <w:proofErr w:type="spellEnd"/>
      <w:r>
        <w:rPr>
          <w:color w:val="000000"/>
          <w:sz w:val="28"/>
          <w:szCs w:val="28"/>
        </w:rPr>
        <w:t xml:space="preserve"> Д.Р.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Никогосян</w:t>
      </w:r>
      <w:proofErr w:type="spellEnd"/>
      <w:r>
        <w:rPr>
          <w:color w:val="000000"/>
          <w:sz w:val="28"/>
          <w:szCs w:val="28"/>
        </w:rPr>
        <w:t xml:space="preserve"> К.С.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26 академических часов для 10 класса и 40 академических часов для 11 класса.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</w:t>
      </w:r>
      <w:r>
        <w:rPr>
          <w:sz w:val="28"/>
          <w:szCs w:val="28"/>
        </w:rPr>
        <w:t>ого проекта.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</w:t>
      </w:r>
      <w:proofErr w:type="spellStart"/>
      <w:r>
        <w:rPr>
          <w:color w:val="000000"/>
          <w:sz w:val="28"/>
          <w:szCs w:val="28"/>
        </w:rPr>
        <w:t>урбанистики</w:t>
      </w:r>
      <w:proofErr w:type="spellEnd"/>
      <w:r>
        <w:rPr>
          <w:color w:val="000000"/>
          <w:sz w:val="28"/>
          <w:szCs w:val="28"/>
        </w:rPr>
        <w:t>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</w:t>
      </w:r>
      <w:r>
        <w:rPr>
          <w:color w:val="000000"/>
          <w:sz w:val="28"/>
          <w:szCs w:val="28"/>
        </w:rPr>
        <w:lastRenderedPageBreak/>
        <w:t>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или групповое исследование.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навыки самостоятельного выполнения докладов на коллоквиумах и написания эссе. Изучение данного курса базируется на курсе “Введение в </w:t>
      </w:r>
      <w:proofErr w:type="spellStart"/>
      <w:r>
        <w:rPr>
          <w:color w:val="000000"/>
          <w:sz w:val="28"/>
          <w:szCs w:val="28"/>
        </w:rPr>
        <w:t>урбанистику</w:t>
      </w:r>
      <w:proofErr w:type="spellEnd"/>
      <w:r>
        <w:rPr>
          <w:color w:val="000000"/>
          <w:sz w:val="28"/>
          <w:szCs w:val="28"/>
        </w:rPr>
        <w:t xml:space="preserve">”. Дополнительным преимуществом является прохождение одного из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Содержание учебного </w:t>
      </w:r>
      <w:r>
        <w:rPr>
          <w:b/>
          <w:sz w:val="28"/>
          <w:szCs w:val="28"/>
          <w:highlight w:val="white"/>
        </w:rPr>
        <w:t>курс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 1.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Цели и задачи научно-исследовательской работы. Общее представление о научно-исследовательской деятельности</w:t>
      </w:r>
      <w:r>
        <w:rPr>
          <w:b/>
          <w:sz w:val="28"/>
          <w:szCs w:val="28"/>
          <w:highlight w:val="white"/>
        </w:rPr>
        <w:t xml:space="preserve"> в </w:t>
      </w:r>
      <w:proofErr w:type="spellStart"/>
      <w:r>
        <w:rPr>
          <w:b/>
          <w:sz w:val="28"/>
          <w:szCs w:val="28"/>
          <w:highlight w:val="white"/>
        </w:rPr>
        <w:t>урбанистике</w:t>
      </w:r>
      <w:proofErr w:type="spellEnd"/>
      <w:r>
        <w:rPr>
          <w:b/>
          <w:sz w:val="28"/>
          <w:szCs w:val="28"/>
          <w:highlight w:val="white"/>
        </w:rPr>
        <w:t>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Универсальные закономерности и принципы осуществления исследовательск</w:t>
      </w:r>
      <w:r>
        <w:rPr>
          <w:sz w:val="28"/>
          <w:szCs w:val="28"/>
          <w:highlight w:val="white"/>
        </w:rPr>
        <w:t>их и аналитических работ по городской и транспортной тематике</w:t>
      </w:r>
      <w:r>
        <w:rPr>
          <w:color w:val="000000"/>
          <w:sz w:val="28"/>
          <w:szCs w:val="28"/>
          <w:highlight w:val="white"/>
        </w:rPr>
        <w:t xml:space="preserve"> (постановка цели и задач исследования; поиск информации, необходимой для ее решения; выбор методов ее решения; проведение анализа; осмысление результатов, их обоснование). Специфика </w:t>
      </w:r>
      <w:r>
        <w:rPr>
          <w:sz w:val="28"/>
          <w:szCs w:val="28"/>
          <w:highlight w:val="white"/>
        </w:rPr>
        <w:t xml:space="preserve">междисциплинарных исследований. </w:t>
      </w:r>
      <w:r>
        <w:rPr>
          <w:color w:val="000000"/>
          <w:sz w:val="28"/>
          <w:szCs w:val="28"/>
          <w:highlight w:val="white"/>
        </w:rPr>
        <w:t xml:space="preserve">Этапы выполнения исследовательской работы. Основы планирования и организации самостоятельной деятельности.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Разработка программы исследования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отбора тем для исследовательского проекта по городской и транспортной тематике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  <w:t xml:space="preserve">Критерии корректности формулировки темы. Принципы обоснования научной актуальности темы </w:t>
      </w:r>
      <w:r>
        <w:rPr>
          <w:sz w:val="28"/>
          <w:szCs w:val="28"/>
          <w:highlight w:val="white"/>
        </w:rPr>
        <w:t>исследования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Корректность</w:t>
      </w:r>
      <w:r>
        <w:rPr>
          <w:color w:val="000000"/>
          <w:sz w:val="28"/>
          <w:szCs w:val="28"/>
          <w:highlight w:val="white"/>
        </w:rPr>
        <w:t xml:space="preserve"> определения объекта и предмета исследования, их содержание.  Методы и </w:t>
      </w:r>
      <w:r>
        <w:rPr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>етодол</w:t>
      </w:r>
      <w:r>
        <w:rPr>
          <w:sz w:val="28"/>
          <w:szCs w:val="28"/>
          <w:highlight w:val="white"/>
        </w:rPr>
        <w:t>огия.  Формулировка и проверка гипотез исследования, корректировка программы исследования.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Источники и литература</w:t>
      </w: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Подбор источника и литературы. Работа с каталогами и базами данных. Этика обращения с авторским текстом. Реферирование и конспектирование. Правила оформления выходных данных, цитации и ссылок. Цитирование иноязычной литературы, прецедентный перевод. Существующие стандарты оформления. Понятия «ссылка» и «примечание». </w:t>
      </w:r>
    </w:p>
    <w:p w:rsidR="00CF647E" w:rsidRDefault="00CF647E" w:rsidP="003C2656">
      <w:pPr>
        <w:widowControl/>
        <w:spacing w:before="0"/>
        <w:ind w:left="0" w:hanging="3"/>
        <w:rPr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Полевой сбор данных для городских исследований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Цели и задачи полевого сбора данных в городских исследованиях. Методики сбора и камеральной обработки полевых данных на примере реального городских исследований. Организация полевого сбора данных и специфика командной работы. Камеральный этап. Сопоставление полевых и камеральных данных.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5</w:t>
      </w:r>
      <w:r>
        <w:rPr>
          <w:b/>
          <w:color w:val="000000"/>
          <w:sz w:val="28"/>
          <w:szCs w:val="28"/>
          <w:highlight w:val="white"/>
        </w:rPr>
        <w:t>. Подготовка текста исследовательской работы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языка и стиля научной речи. Основные логические и стилистические ошибки. Принципы редактирования текста.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</w:t>
      </w:r>
      <w:r>
        <w:rPr>
          <w:b/>
          <w:sz w:val="28"/>
          <w:szCs w:val="28"/>
          <w:highlight w:val="white"/>
        </w:rPr>
        <w:t xml:space="preserve"> 6</w:t>
      </w:r>
      <w:r>
        <w:rPr>
          <w:b/>
          <w:color w:val="000000"/>
          <w:sz w:val="28"/>
          <w:szCs w:val="28"/>
          <w:highlight w:val="white"/>
        </w:rPr>
        <w:t>. Презентация и демонстрация. Подготовка выступления на защите и презентации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Виды научных мероприятий и выбор стратегии выступления</w:t>
      </w:r>
      <w:r>
        <w:rPr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Тезисы и доклад: принципы подготовки текста выступления и требования к нему. Создание гармоничной презентации. Тайм-менеджмент презентации. Интерактивность.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качества выступления и презентации. Основные ошибки в ходе защиты. Требования к качеству работы, подходы к ее оцениванию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tbl>
      <w:tblPr>
        <w:tblStyle w:val="aff7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№</w:t>
            </w:r>
          </w:p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Контрольные виды деятельности констатирующего типа</w:t>
            </w: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Цели и задачи научно-исследовательской работы. Общее представление о научно-исследовательской деятельности в </w:t>
            </w:r>
            <w:proofErr w:type="spellStart"/>
            <w:r>
              <w:rPr>
                <w:sz w:val="24"/>
                <w:szCs w:val="24"/>
                <w:highlight w:val="white"/>
              </w:rPr>
              <w:t>урбанистике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Источники и литература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Синопсис исследования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10-й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11-й класс</w:t>
            </w:r>
          </w:p>
        </w:tc>
        <w:tc>
          <w:tcPr>
            <w:tcW w:w="9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Подготовка текста исследовательской работы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Презентация и демонстрация. Подготовка выступления на защите и презентации 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11-й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Защита исследовательского проекта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311981" w:rsidRDefault="00311981" w:rsidP="00311981">
      <w:pPr>
        <w:spacing w:line="360" w:lineRule="auto"/>
        <w:ind w:hanging="2"/>
        <w:rPr>
          <w:snapToGrid/>
          <w:position w:val="0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311981" w:rsidRDefault="00311981" w:rsidP="00311981">
      <w:pPr>
        <w:spacing w:line="36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навыки подготовки презентаций и использование </w:t>
      </w:r>
      <w:proofErr w:type="gramStart"/>
      <w:r>
        <w:rPr>
          <w:color w:val="000000"/>
          <w:sz w:val="28"/>
          <w:szCs w:val="28"/>
        </w:rPr>
        <w:t>программы  MS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</w:rPr>
      </w:pPr>
      <w:r>
        <w:rPr>
          <w:b/>
          <w:color w:val="000000"/>
        </w:rPr>
        <w:t>Учебно-методическое обеспечение образовательной деятельности: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CF647E" w:rsidRPr="003C2656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  <w:lang w:val="en-US"/>
        </w:rPr>
      </w:pPr>
      <w:r>
        <w:rPr>
          <w:b/>
          <w:color w:val="000000"/>
          <w:sz w:val="28"/>
          <w:szCs w:val="28"/>
          <w:highlight w:val="white"/>
        </w:rPr>
        <w:t>Основная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литература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color w:val="000000"/>
          <w:sz w:val="28"/>
          <w:szCs w:val="28"/>
          <w:highlight w:val="white"/>
          <w:lang w:val="en-US"/>
        </w:rPr>
        <w:t>1.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 w:rsidRPr="003C2656">
        <w:rPr>
          <w:sz w:val="28"/>
          <w:szCs w:val="28"/>
          <w:highlight w:val="white"/>
          <w:lang w:val="en-US"/>
        </w:rPr>
        <w:t>The Oxford handbook of urban economics and planning / Ed. by N. Brooks, K.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proofErr w:type="spellStart"/>
      <w:r w:rsidRPr="003C2656">
        <w:rPr>
          <w:sz w:val="28"/>
          <w:szCs w:val="28"/>
          <w:highlight w:val="white"/>
          <w:lang w:val="en-US"/>
        </w:rPr>
        <w:t>Donaghy</w:t>
      </w:r>
      <w:proofErr w:type="spellEnd"/>
      <w:r w:rsidRPr="003C2656">
        <w:rPr>
          <w:sz w:val="28"/>
          <w:szCs w:val="28"/>
          <w:highlight w:val="white"/>
          <w:lang w:val="en-US"/>
        </w:rPr>
        <w:t xml:space="preserve">, G.-J. </w:t>
      </w:r>
      <w:proofErr w:type="spellStart"/>
      <w:r w:rsidRPr="003C2656">
        <w:rPr>
          <w:sz w:val="28"/>
          <w:szCs w:val="28"/>
          <w:highlight w:val="white"/>
          <w:lang w:val="en-US"/>
        </w:rPr>
        <w:t>Knaap</w:t>
      </w:r>
      <w:proofErr w:type="spellEnd"/>
      <w:r w:rsidRPr="003C2656">
        <w:rPr>
          <w:sz w:val="28"/>
          <w:szCs w:val="28"/>
          <w:highlight w:val="white"/>
          <w:lang w:val="en-US"/>
        </w:rPr>
        <w:t>. – Oxford; New York: Oxford University Press, 2012. Mode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of access: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http://www.oxfordhandbooks.com/view/10.1093/oxfordhb/9780195380620.001.00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01/oxfordhb-9780195380620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2. Handbook of regional and urban economics. – Amsterdam; Philadelphia: Elsevier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 xml:space="preserve">Science. Mode of access: </w:t>
      </w:r>
      <w:hyperlink r:id="rId8">
        <w:r w:rsidRPr="003C2656">
          <w:rPr>
            <w:color w:val="1155CC"/>
            <w:sz w:val="28"/>
            <w:szCs w:val="28"/>
            <w:highlight w:val="white"/>
            <w:u w:val="single"/>
            <w:lang w:val="en-US"/>
          </w:rPr>
          <w:t>https://www.sciencedirect.com/handbook/handbook-ofregional-and-urban-economics/volumes</w:t>
        </w:r>
      </w:hyperlink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Vol.</w:t>
      </w:r>
      <w:proofErr w:type="gramStart"/>
      <w:r w:rsidRPr="003C2656">
        <w:rPr>
          <w:sz w:val="28"/>
          <w:szCs w:val="28"/>
          <w:highlight w:val="white"/>
          <w:lang w:val="en-US"/>
        </w:rPr>
        <w:t>4 :</w:t>
      </w:r>
      <w:proofErr w:type="gramEnd"/>
      <w:r w:rsidRPr="003C2656">
        <w:rPr>
          <w:sz w:val="28"/>
          <w:szCs w:val="28"/>
          <w:highlight w:val="white"/>
          <w:lang w:val="en-US"/>
        </w:rPr>
        <w:t xml:space="preserve"> Cities and geography / Ed. by J. V. Henderson, J.- F. </w:t>
      </w:r>
      <w:proofErr w:type="spellStart"/>
      <w:r w:rsidRPr="003C2656">
        <w:rPr>
          <w:sz w:val="28"/>
          <w:szCs w:val="28"/>
          <w:highlight w:val="white"/>
          <w:lang w:val="en-US"/>
        </w:rPr>
        <w:t>Thisse</w:t>
      </w:r>
      <w:proofErr w:type="spellEnd"/>
      <w:r w:rsidRPr="003C2656">
        <w:rPr>
          <w:sz w:val="28"/>
          <w:szCs w:val="28"/>
          <w:highlight w:val="white"/>
          <w:lang w:val="en-US"/>
        </w:rPr>
        <w:t>. – 2004.</w:t>
      </w:r>
    </w:p>
    <w:p w:rsidR="00CF647E" w:rsidRPr="003C2656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lang w:val="en-US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 Дополнительная литература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 xml:space="preserve">Гончаров Р. В., </w:t>
      </w:r>
      <w:proofErr w:type="spellStart"/>
      <w:r>
        <w:rPr>
          <w:sz w:val="28"/>
          <w:szCs w:val="28"/>
          <w:highlight w:val="white"/>
        </w:rPr>
        <w:t>Сапанов</w:t>
      </w:r>
      <w:proofErr w:type="spellEnd"/>
      <w:r>
        <w:rPr>
          <w:sz w:val="28"/>
          <w:szCs w:val="28"/>
          <w:highlight w:val="white"/>
        </w:rPr>
        <w:t xml:space="preserve"> П. М.,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 Технология сбора пространственных данных в полевых городских исследованиях // Социология власти. 2013. № 3. С. 57-72.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proofErr w:type="spellStart"/>
      <w:r>
        <w:rPr>
          <w:sz w:val="28"/>
          <w:szCs w:val="28"/>
          <w:highlight w:val="white"/>
        </w:rPr>
        <w:t>Никогосян</w:t>
      </w:r>
      <w:proofErr w:type="spellEnd"/>
      <w:r>
        <w:rPr>
          <w:sz w:val="28"/>
          <w:szCs w:val="28"/>
          <w:highlight w:val="white"/>
        </w:rPr>
        <w:t xml:space="preserve"> К. С., </w:t>
      </w:r>
      <w:proofErr w:type="spellStart"/>
      <w:r>
        <w:rPr>
          <w:sz w:val="28"/>
          <w:szCs w:val="28"/>
          <w:highlight w:val="white"/>
        </w:rPr>
        <w:t>Яшунский</w:t>
      </w:r>
      <w:proofErr w:type="spellEnd"/>
      <w:r>
        <w:rPr>
          <w:sz w:val="28"/>
          <w:szCs w:val="28"/>
          <w:highlight w:val="white"/>
        </w:rPr>
        <w:t xml:space="preserve">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</w:t>
      </w:r>
      <w:proofErr w:type="gramStart"/>
      <w:r>
        <w:rPr>
          <w:sz w:val="28"/>
          <w:szCs w:val="28"/>
          <w:highlight w:val="white"/>
        </w:rPr>
        <w:t>М. :</w:t>
      </w:r>
      <w:proofErr w:type="gramEnd"/>
      <w:r>
        <w:rPr>
          <w:sz w:val="28"/>
          <w:szCs w:val="28"/>
          <w:highlight w:val="white"/>
        </w:rPr>
        <w:t xml:space="preserve"> МАКС Пресс, 2013.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 Е.Н. </w:t>
      </w:r>
      <w:proofErr w:type="spellStart"/>
      <w:r>
        <w:rPr>
          <w:sz w:val="28"/>
          <w:szCs w:val="28"/>
          <w:highlight w:val="white"/>
        </w:rPr>
        <w:t>Геоурбанистика</w:t>
      </w:r>
      <w:proofErr w:type="spellEnd"/>
      <w:r>
        <w:rPr>
          <w:sz w:val="28"/>
          <w:szCs w:val="28"/>
          <w:highlight w:val="white"/>
        </w:rPr>
        <w:t xml:space="preserve">: учебник для академического </w:t>
      </w:r>
      <w:proofErr w:type="spellStart"/>
      <w:r>
        <w:rPr>
          <w:sz w:val="28"/>
          <w:szCs w:val="28"/>
          <w:highlight w:val="white"/>
        </w:rPr>
        <w:t>бакалавриата</w:t>
      </w:r>
      <w:proofErr w:type="spellEnd"/>
      <w:r>
        <w:rPr>
          <w:sz w:val="28"/>
          <w:szCs w:val="28"/>
          <w:highlight w:val="white"/>
        </w:rPr>
        <w:t xml:space="preserve"> / Е.Н. </w:t>
      </w:r>
      <w:proofErr w:type="spellStart"/>
      <w:r>
        <w:rPr>
          <w:sz w:val="28"/>
          <w:szCs w:val="28"/>
          <w:highlight w:val="white"/>
        </w:rPr>
        <w:t>Перцик</w:t>
      </w:r>
      <w:proofErr w:type="spellEnd"/>
      <w:r>
        <w:rPr>
          <w:sz w:val="28"/>
          <w:szCs w:val="28"/>
          <w:highlight w:val="white"/>
        </w:rPr>
        <w:t xml:space="preserve">. — 2-е изд., стер. — М.: </w:t>
      </w:r>
      <w:proofErr w:type="spellStart"/>
      <w:r>
        <w:rPr>
          <w:sz w:val="28"/>
          <w:szCs w:val="28"/>
          <w:highlight w:val="white"/>
        </w:rPr>
        <w:t>Юрайт</w:t>
      </w:r>
      <w:proofErr w:type="spellEnd"/>
      <w:r>
        <w:rPr>
          <w:sz w:val="28"/>
          <w:szCs w:val="28"/>
          <w:highlight w:val="white"/>
        </w:rPr>
        <w:t xml:space="preserve">, 2017. — 435 с. — (Сер, </w:t>
      </w:r>
      <w:r>
        <w:rPr>
          <w:sz w:val="28"/>
          <w:szCs w:val="28"/>
          <w:highlight w:val="white"/>
        </w:rPr>
        <w:lastRenderedPageBreak/>
        <w:t xml:space="preserve">«Бакалавр». Академический курс). — 978-5-5340-0735-0. https://www.biblioonline.ru/book/geourbanistika-434063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proofErr w:type="spellStart"/>
      <w:r>
        <w:rPr>
          <w:sz w:val="28"/>
          <w:szCs w:val="28"/>
          <w:highlight w:val="white"/>
        </w:rPr>
        <w:t>Рузавин</w:t>
      </w:r>
      <w:proofErr w:type="spellEnd"/>
      <w:r>
        <w:rPr>
          <w:sz w:val="28"/>
          <w:szCs w:val="28"/>
          <w:highlight w:val="white"/>
        </w:rPr>
        <w:t xml:space="preserve"> Г.И. Методы научного исследования. М.: Мысль, 1974.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spacing w:before="0"/>
        <w:ind w:leftChars="0" w:left="0" w:firstLineChars="0" w:firstLine="0"/>
        <w:rPr>
          <w:sz w:val="28"/>
          <w:szCs w:val="28"/>
        </w:rPr>
      </w:pPr>
    </w:p>
    <w:sectPr w:rsidR="00CF64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FD" w:rsidRDefault="000075FD" w:rsidP="003C2656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0075FD" w:rsidRDefault="000075FD" w:rsidP="003C2656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A55A3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FD" w:rsidRDefault="000075FD" w:rsidP="003C2656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0075FD" w:rsidRDefault="000075FD" w:rsidP="003C2656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8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F647E">
      <w:tc>
        <w:tcPr>
          <w:tcW w:w="877" w:type="dxa"/>
        </w:tcPr>
        <w:p w:rsidR="00CF647E" w:rsidRDefault="000075FD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0A02B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59D"/>
    <w:multiLevelType w:val="multilevel"/>
    <w:tmpl w:val="A532F4B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231044"/>
    <w:multiLevelType w:val="multilevel"/>
    <w:tmpl w:val="41AE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265F4"/>
    <w:multiLevelType w:val="multilevel"/>
    <w:tmpl w:val="08EA34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995AF3"/>
    <w:multiLevelType w:val="multilevel"/>
    <w:tmpl w:val="B82C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E"/>
    <w:rsid w:val="000075FD"/>
    <w:rsid w:val="000A02BE"/>
    <w:rsid w:val="002344AD"/>
    <w:rsid w:val="00311981"/>
    <w:rsid w:val="003A55A3"/>
    <w:rsid w:val="003C2656"/>
    <w:rsid w:val="003C5079"/>
    <w:rsid w:val="007249F8"/>
    <w:rsid w:val="008E61E2"/>
    <w:rsid w:val="00CF647E"/>
    <w:rsid w:val="00D2305D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FF54"/>
  <w15:docId w15:val="{A159C18D-4426-46E6-8FD1-6A882B6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P+qKdjJSBiHJ+ivktfkQyPJtg==">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4</cp:revision>
  <dcterms:created xsi:type="dcterms:W3CDTF">2021-07-06T07:54:00Z</dcterms:created>
  <dcterms:modified xsi:type="dcterms:W3CDTF">2021-10-21T13:05:00Z</dcterms:modified>
</cp:coreProperties>
</file>