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F08B" w14:textId="77777777" w:rsidR="002E6EE9" w:rsidRPr="00F6778C" w:rsidRDefault="002E6EE9" w:rsidP="002E6EE9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E6EE9" w:rsidRPr="00F6778C" w14:paraId="1EB9B1BB" w14:textId="77777777" w:rsidTr="00126360">
        <w:tc>
          <w:tcPr>
            <w:tcW w:w="5778" w:type="dxa"/>
          </w:tcPr>
          <w:p w14:paraId="0E9EA93A" w14:textId="1F6AAD14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77CEBF34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518A2361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B7C12E3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1ED4F5B" w14:textId="77777777"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280A1513" w14:textId="77777777"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5D74A87" w14:textId="77777777"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2E19A" w14:textId="77777777"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9A5B281" w14:textId="14517EDC" w:rsidR="002E6EE9" w:rsidRPr="00F6778C" w:rsidRDefault="00E53940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392</w:t>
            </w:r>
          </w:p>
          <w:p w14:paraId="1F49A46E" w14:textId="5A7EA07F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6735DE69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8A242CE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3E99874" w14:textId="74A2C63D" w:rsidR="002E6EE9" w:rsidRPr="00F6778C" w:rsidRDefault="00E53940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 г.</w:t>
            </w:r>
          </w:p>
          <w:p w14:paraId="538A55C8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D09C9F8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B963A02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D3C55F0" w14:textId="77777777"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4E408BB" w14:textId="77777777"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2FD7CF" w14:textId="77777777"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76ECEE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6C19F0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2BDDDC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B1A50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D3D4A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4B050BA3" w14:textId="77777777" w:rsidR="002E6EE9" w:rsidRPr="00F6778C" w:rsidRDefault="00140076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6EE9">
        <w:rPr>
          <w:rFonts w:ascii="Times New Roman" w:hAnsi="Times New Roman" w:cs="Times New Roman"/>
          <w:b/>
          <w:bCs/>
          <w:sz w:val="26"/>
          <w:szCs w:val="26"/>
        </w:rPr>
        <w:t>Филология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B9C3832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32490AF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CF5E18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9945C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9D7EDD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18BE6D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4E22C7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991B90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C3331D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8CA42B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82EE25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F6EA30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833118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FF30B9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FCFC3A" w14:textId="77777777"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6520CD" w14:textId="77777777" w:rsidR="002E6EE9" w:rsidRPr="00F6778C" w:rsidRDefault="005368F5" w:rsidP="002E6EE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2E6EE9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E6EE9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A8293F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62A37">
        <w:rPr>
          <w:rFonts w:ascii="Times New Roman" w:hAnsi="Times New Roman" w:cs="Times New Roman"/>
          <w:sz w:val="28"/>
          <w:szCs w:val="28"/>
        </w:rPr>
        <w:t>.</w:t>
      </w:r>
      <w:r w:rsidRPr="00B62A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2A37">
        <w:rPr>
          <w:rFonts w:ascii="Times New Roman" w:hAnsi="Times New Roman" w:cs="Times New Roman"/>
          <w:sz w:val="28"/>
          <w:szCs w:val="28"/>
        </w:rPr>
        <w:t>. К.М. Поливанов</w:t>
      </w:r>
    </w:p>
    <w:p w14:paraId="0E432863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 xml:space="preserve">. н. А.О.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Ковалова</w:t>
      </w:r>
      <w:proofErr w:type="spellEnd"/>
    </w:p>
    <w:p w14:paraId="417110EB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к. ист. наук А.В. Лаврентьев</w:t>
      </w:r>
    </w:p>
    <w:p w14:paraId="29A2CEA1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наук А.Ф. Литвина</w:t>
      </w:r>
    </w:p>
    <w:p w14:paraId="65DDC65C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н. Е.Е. Земскова</w:t>
      </w:r>
    </w:p>
    <w:p w14:paraId="080FA964" w14:textId="77777777"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М.А. Кривошеина</w:t>
      </w:r>
    </w:p>
    <w:p w14:paraId="5BE21F5E" w14:textId="77777777"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DA4247" w14:textId="77777777"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2D4B33" w14:textId="77777777" w:rsidR="00B62A37" w:rsidRPr="00B62A37" w:rsidRDefault="00B62A37" w:rsidP="00B62A37">
      <w:pPr>
        <w:rPr>
          <w:sz w:val="28"/>
          <w:szCs w:val="28"/>
        </w:rPr>
      </w:pPr>
    </w:p>
    <w:p w14:paraId="60AAC036" w14:textId="77777777"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CCBE9" w14:textId="77777777" w:rsidR="00FA1C0C" w:rsidRPr="00B62A37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14:paraId="47475986" w14:textId="77777777" w:rsidR="00FC2DBA" w:rsidRPr="00B62A37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ab/>
      </w:r>
      <w:r w:rsidR="00DD5C2C" w:rsidRPr="00B62A37">
        <w:rPr>
          <w:rFonts w:ascii="Times New Roman" w:hAnsi="Times New Roman" w:cs="Times New Roman"/>
          <w:sz w:val="28"/>
          <w:szCs w:val="28"/>
        </w:rPr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таким как медленное чтение (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DD5C2C" w:rsidRPr="00B62A37">
        <w:rPr>
          <w:rFonts w:ascii="Times New Roman" w:hAnsi="Times New Roman" w:cs="Times New Roman"/>
          <w:sz w:val="28"/>
          <w:szCs w:val="28"/>
        </w:rPr>
        <w:t xml:space="preserve"> 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D5C2C" w:rsidRPr="00B62A37">
        <w:rPr>
          <w:rFonts w:ascii="Times New Roman" w:hAnsi="Times New Roman" w:cs="Times New Roman"/>
          <w:sz w:val="28"/>
          <w:szCs w:val="28"/>
        </w:rPr>
        <w:t>) художественного чтения, комментированное чтение, работа с историко-литературными и архивными источниками, работа с интерпретациями художественного текста, в том числе средствами других видов искусств и др.</w:t>
      </w:r>
    </w:p>
    <w:p w14:paraId="17424625" w14:textId="77777777" w:rsidR="006428FF" w:rsidRPr="00B62A37" w:rsidRDefault="006428FF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9B276" w14:textId="77777777"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«Филологические практики работы с художественным текстом»</w:t>
      </w:r>
    </w:p>
    <w:p w14:paraId="11903B7A" w14:textId="77777777"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66C4B" w14:textId="77777777" w:rsidR="002E6EE9" w:rsidRDefault="00FC2DBA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Курс носит гетерогенный характер и включает в себя как лекции-консультации,  так и практические работы разного типа с текстом, а также выполнение школьниками письменных работ, из которых итоговой будет являться создание каждым из них историко-литературного комментария конкретного фрагмента романа Б.Л. Пастернака «Доктор Живаго». </w:t>
      </w:r>
    </w:p>
    <w:p w14:paraId="59B56332" w14:textId="77777777" w:rsidR="002E6EE9" w:rsidRDefault="002E6EE9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B48DC" w14:textId="77777777" w:rsidR="002E6EE9" w:rsidRPr="00B62A37" w:rsidRDefault="002E6EE9" w:rsidP="002E6E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«Книги, книжность и книжники Древней Руси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XVII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14:paraId="2C16F5A4" w14:textId="77777777"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Раздел вводит обучающихся в мир древнерусской книжности, формирует необходимую базу для восприятия литературы последующих эпох и других культур, для понимания того, как формируется светская художественная литература последних столетий. Курс состоит из 9 тем, каждая из которых представлена в виде лекции с элементами эвристической беседы, практического занятия и небольшой лабораторной работы с текстом </w:t>
      </w:r>
    </w:p>
    <w:p w14:paraId="07DA66A1" w14:textId="77777777"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FDDFE" w14:textId="77777777" w:rsidR="002E6EE9" w:rsidRPr="00B62A37" w:rsidRDefault="002E6EE9" w:rsidP="002E6EE9">
      <w:pPr>
        <w:pStyle w:val="a3"/>
        <w:jc w:val="left"/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</w:pPr>
      <w:r w:rsidRPr="00B62A37">
        <w:rPr>
          <w:u w:val="single"/>
        </w:rPr>
        <w:t xml:space="preserve">Раздел </w:t>
      </w:r>
      <w:r w:rsidRPr="00B62A37">
        <w:rPr>
          <w:u w:val="single"/>
          <w:lang w:val="de-DE"/>
        </w:rPr>
        <w:t>III</w:t>
      </w:r>
      <w:r w:rsidRPr="00B62A37">
        <w:rPr>
          <w:u w:val="single"/>
        </w:rPr>
        <w:t xml:space="preserve">. 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«</w:t>
      </w:r>
      <w:r w:rsidRPr="00B62A37">
        <w:rPr>
          <w:rFonts w:eastAsiaTheme="minorHAnsi"/>
          <w:bCs w:val="0"/>
          <w:color w:val="auto"/>
          <w:spacing w:val="0"/>
          <w:u w:val="single"/>
          <w:lang w:eastAsia="en-US"/>
        </w:rPr>
        <w:t>Введение в академическое письмо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»</w:t>
      </w:r>
    </w:p>
    <w:p w14:paraId="70143941" w14:textId="77777777"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5669A" w14:textId="77777777"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E02AD" w14:textId="77777777"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в частности – освоением ими основ академического письма – навык, необходимый при получении любого высшего образования, не только гуманитарного, и востребованный уже на углубленных уровнях старшей школы, так как уже на этом этапе наиболее </w:t>
      </w:r>
      <w:r w:rsidRPr="00B62A37">
        <w:rPr>
          <w:rFonts w:ascii="Times New Roman" w:hAnsi="Times New Roman" w:cs="Times New Roman"/>
          <w:sz w:val="28"/>
          <w:szCs w:val="28"/>
        </w:rPr>
        <w:lastRenderedPageBreak/>
        <w:t>сильные обучающиеся принимают участие в школьных научных конференциях, предметных олимпиадах, делают свои первые научные (учебно-научные) публикации.</w:t>
      </w:r>
    </w:p>
    <w:p w14:paraId="59D993CB" w14:textId="77777777"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7B0A3" w14:textId="77777777" w:rsidR="00FA1C0C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0012E" w14:textId="77777777" w:rsidR="00E35140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B62A37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14:paraId="1E0A22BF" w14:textId="77777777"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E3B57C" w14:textId="77777777"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</w:t>
      </w:r>
      <w:r w:rsidR="00FA1C0C" w:rsidRPr="00B62A37">
        <w:rPr>
          <w:rFonts w:ascii="Times New Roman" w:hAnsi="Times New Roman" w:cs="Times New Roman"/>
          <w:sz w:val="28"/>
          <w:szCs w:val="28"/>
        </w:rPr>
        <w:t>.</w:t>
      </w:r>
    </w:p>
    <w:p w14:paraId="0BB5FD17" w14:textId="77777777" w:rsidR="00FA1C0C" w:rsidRPr="00B62A37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BB00D1" w14:textId="77777777" w:rsidR="00E35140" w:rsidRPr="00B62A37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241B4B3D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622198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53B57D8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0A5CB96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803CB2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14:paraId="09A52E3E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EBAF22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CAA5E15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E7FDFA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507626C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793CA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65CD7BF4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93C19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37">
        <w:rPr>
          <w:rFonts w:ascii="Times New Roman" w:hAnsi="Times New Roman" w:cs="Times New Roman"/>
          <w:b/>
          <w:i/>
          <w:sz w:val="28"/>
          <w:szCs w:val="28"/>
        </w:rPr>
        <w:lastRenderedPageBreak/>
        <w:t>(Филология)</w:t>
      </w:r>
    </w:p>
    <w:p w14:paraId="3E23599B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3176E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14:paraId="1DAC90A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3745B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37B5E64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0EE11067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B3EFAC2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26DF48" w14:textId="77777777" w:rsidR="00FD2796" w:rsidRPr="00B62A37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0C244" w14:textId="77777777"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9A73B" w14:textId="77777777"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6FD17E70" w14:textId="77777777"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p w14:paraId="52EC8021" w14:textId="77777777" w:rsidR="007D5E34" w:rsidRPr="00B62A37" w:rsidRDefault="007D5E34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702"/>
        <w:gridCol w:w="2408"/>
        <w:gridCol w:w="676"/>
        <w:gridCol w:w="1026"/>
        <w:gridCol w:w="3084"/>
      </w:tblGrid>
      <w:tr w:rsidR="002E6EE9" w:rsidRPr="00B62A37" w14:paraId="1C45978E" w14:textId="77777777" w:rsidTr="00E66FBF">
        <w:tc>
          <w:tcPr>
            <w:tcW w:w="4110" w:type="dxa"/>
            <w:gridSpan w:val="2"/>
          </w:tcPr>
          <w:p w14:paraId="55FC4C20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  <w:gridSpan w:val="2"/>
          </w:tcPr>
          <w:p w14:paraId="4B01552B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84" w:type="dxa"/>
          </w:tcPr>
          <w:p w14:paraId="0D2D41E5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E6EE9" w:rsidRPr="00B62A37" w14:paraId="4D47857D" w14:textId="77777777" w:rsidTr="00E66FBF">
        <w:tc>
          <w:tcPr>
            <w:tcW w:w="4110" w:type="dxa"/>
            <w:gridSpan w:val="2"/>
          </w:tcPr>
          <w:p w14:paraId="34D3E041" w14:textId="77777777"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702" w:type="dxa"/>
            <w:gridSpan w:val="2"/>
          </w:tcPr>
          <w:p w14:paraId="3F4EE3E5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14:paraId="5089B091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0CBF8FE" w14:textId="77777777" w:rsidTr="00E66FBF">
        <w:tc>
          <w:tcPr>
            <w:tcW w:w="4110" w:type="dxa"/>
            <w:gridSpan w:val="2"/>
          </w:tcPr>
          <w:p w14:paraId="4BD8EBF1" w14:textId="77777777"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Борис Пастернак – путь к роману (1909-1945) </w:t>
            </w:r>
          </w:p>
          <w:p w14:paraId="5BE06D17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14:paraId="4BC604D0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06B38A44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2B8DCB50" w14:textId="77777777" w:rsidTr="00E66FBF">
        <w:tc>
          <w:tcPr>
            <w:tcW w:w="4110" w:type="dxa"/>
            <w:gridSpan w:val="2"/>
          </w:tcPr>
          <w:p w14:paraId="1C1BFB26" w14:textId="77777777"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М.М. Зощенко</w:t>
            </w:r>
          </w:p>
        </w:tc>
        <w:tc>
          <w:tcPr>
            <w:tcW w:w="1702" w:type="dxa"/>
            <w:gridSpan w:val="2"/>
          </w:tcPr>
          <w:p w14:paraId="787E903B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14:paraId="2A7026D0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BB45AE2" w14:textId="77777777" w:rsidTr="00E66FBF">
        <w:tc>
          <w:tcPr>
            <w:tcW w:w="4110" w:type="dxa"/>
            <w:gridSpan w:val="2"/>
          </w:tcPr>
          <w:p w14:paraId="79BD760E" w14:textId="77777777" w:rsidR="002E6EE9" w:rsidRPr="002E6EE9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1946-1955  история замысла и создания романа</w:t>
            </w:r>
          </w:p>
        </w:tc>
        <w:tc>
          <w:tcPr>
            <w:tcW w:w="1702" w:type="dxa"/>
            <w:gridSpan w:val="2"/>
          </w:tcPr>
          <w:p w14:paraId="7466E78D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14:paraId="2ACDFECA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C40C84F" w14:textId="77777777" w:rsidTr="00E66FBF">
        <w:tc>
          <w:tcPr>
            <w:tcW w:w="4110" w:type="dxa"/>
            <w:gridSpan w:val="2"/>
          </w:tcPr>
          <w:p w14:paraId="110F5F3B" w14:textId="77777777"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А.П. Платонова</w:t>
            </w:r>
          </w:p>
        </w:tc>
        <w:tc>
          <w:tcPr>
            <w:tcW w:w="1702" w:type="dxa"/>
            <w:gridSpan w:val="2"/>
          </w:tcPr>
          <w:p w14:paraId="15C506B8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14:paraId="429F81BB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25A3A52C" w14:textId="77777777" w:rsidTr="00E66FBF">
        <w:tc>
          <w:tcPr>
            <w:tcW w:w="4110" w:type="dxa"/>
            <w:gridSpan w:val="2"/>
          </w:tcPr>
          <w:p w14:paraId="5C5175AF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История публикации, Нобелевская премия, травля Пастернака</w:t>
            </w:r>
          </w:p>
        </w:tc>
        <w:tc>
          <w:tcPr>
            <w:tcW w:w="1702" w:type="dxa"/>
            <w:gridSpan w:val="2"/>
          </w:tcPr>
          <w:p w14:paraId="3C1CA57F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14:paraId="3205DAB2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4C0C9CF" w14:textId="77777777" w:rsidTr="00E66FBF">
        <w:tc>
          <w:tcPr>
            <w:tcW w:w="4110" w:type="dxa"/>
            <w:gridSpan w:val="2"/>
          </w:tcPr>
          <w:p w14:paraId="12045FE8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Ю.П. Казакова</w:t>
            </w:r>
          </w:p>
        </w:tc>
        <w:tc>
          <w:tcPr>
            <w:tcW w:w="1702" w:type="dxa"/>
            <w:gridSpan w:val="2"/>
          </w:tcPr>
          <w:p w14:paraId="4CDFEF5E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14:paraId="45EEC9CE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3E80DDC" w14:textId="77777777" w:rsidTr="00E66FBF">
        <w:tc>
          <w:tcPr>
            <w:tcW w:w="4110" w:type="dxa"/>
            <w:gridSpan w:val="2"/>
          </w:tcPr>
          <w:p w14:paraId="230B1292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Поэтика романа. «Скрещение судеб» - техника построения сюжета. «Временной контрапункт»</w:t>
            </w:r>
          </w:p>
        </w:tc>
        <w:tc>
          <w:tcPr>
            <w:tcW w:w="1702" w:type="dxa"/>
            <w:gridSpan w:val="2"/>
          </w:tcPr>
          <w:p w14:paraId="7AD434FD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14:paraId="3A01D8D4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408F3FE" w14:textId="77777777" w:rsidTr="00E66FBF">
        <w:tc>
          <w:tcPr>
            <w:tcW w:w="4110" w:type="dxa"/>
            <w:gridSpan w:val="2"/>
          </w:tcPr>
          <w:p w14:paraId="2868B0C0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С.Д. Довлатова</w:t>
            </w:r>
          </w:p>
        </w:tc>
        <w:tc>
          <w:tcPr>
            <w:tcW w:w="1702" w:type="dxa"/>
            <w:gridSpan w:val="2"/>
          </w:tcPr>
          <w:p w14:paraId="53518B18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14:paraId="7A51ED49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Письменный анализ рассказа</w:t>
            </w:r>
          </w:p>
        </w:tc>
      </w:tr>
      <w:tr w:rsidR="002E6EE9" w:rsidRPr="00B62A37" w14:paraId="2B5704EE" w14:textId="77777777" w:rsidTr="00E66FBF">
        <w:tc>
          <w:tcPr>
            <w:tcW w:w="4110" w:type="dxa"/>
            <w:gridSpan w:val="2"/>
          </w:tcPr>
          <w:p w14:paraId="56853575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Стихи и  проза в романе.</w:t>
            </w:r>
          </w:p>
        </w:tc>
        <w:tc>
          <w:tcPr>
            <w:tcW w:w="1702" w:type="dxa"/>
            <w:gridSpan w:val="2"/>
          </w:tcPr>
          <w:p w14:paraId="4F60AFB5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14:paraId="4B41834D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42125566" w14:textId="77777777" w:rsidTr="00E66FBF">
        <w:tc>
          <w:tcPr>
            <w:tcW w:w="4110" w:type="dxa"/>
            <w:gridSpan w:val="2"/>
          </w:tcPr>
          <w:p w14:paraId="4464DDC7" w14:textId="77777777" w:rsidR="002E6EE9" w:rsidRPr="00B62A37" w:rsidRDefault="002E6EE9" w:rsidP="00E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Экранизация классики – теория и практика</w:t>
            </w:r>
          </w:p>
        </w:tc>
        <w:tc>
          <w:tcPr>
            <w:tcW w:w="1702" w:type="dxa"/>
            <w:gridSpan w:val="2"/>
          </w:tcPr>
          <w:p w14:paraId="6C9CE16C" w14:textId="572A446E" w:rsidR="002E6EE9" w:rsidRPr="000C2409" w:rsidRDefault="000C240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5980ED09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554C0750" w14:textId="77777777" w:rsidTr="00E66FBF">
        <w:tc>
          <w:tcPr>
            <w:tcW w:w="4110" w:type="dxa"/>
            <w:gridSpan w:val="2"/>
          </w:tcPr>
          <w:p w14:paraId="54630FCE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Литературная традиция в романе: В. Скотт, Ч. Диккенс, А. Пушкин, Л. Толстой, Ф. Достоевский. Современники – А. Толстой, А. Фадеев, М. Булгаков, М. Шолохов, М. Осоргин</w:t>
            </w:r>
          </w:p>
        </w:tc>
        <w:tc>
          <w:tcPr>
            <w:tcW w:w="1702" w:type="dxa"/>
            <w:gridSpan w:val="2"/>
          </w:tcPr>
          <w:p w14:paraId="7762454C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14:paraId="1009714B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127F90F8" w14:textId="77777777" w:rsidTr="00E66FBF">
        <w:tc>
          <w:tcPr>
            <w:tcW w:w="4110" w:type="dxa"/>
            <w:gridSpan w:val="2"/>
          </w:tcPr>
          <w:p w14:paraId="60C16353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Пушкин на экране</w:t>
            </w:r>
          </w:p>
        </w:tc>
        <w:tc>
          <w:tcPr>
            <w:tcW w:w="1702" w:type="dxa"/>
            <w:gridSpan w:val="2"/>
          </w:tcPr>
          <w:p w14:paraId="760C4A21" w14:textId="7A511398" w:rsidR="002E6EE9" w:rsidRPr="000C2409" w:rsidRDefault="000C240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5084D22B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BAD53E4" w14:textId="77777777" w:rsidTr="00E66FBF">
        <w:tc>
          <w:tcPr>
            <w:tcW w:w="4110" w:type="dxa"/>
            <w:gridSpan w:val="2"/>
          </w:tcPr>
          <w:p w14:paraId="42E9294C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«Доктор Живаго» как исторический роман. Способы передачи современности. Особенности повествовательной техники в изображении времени. Философия истории.</w:t>
            </w:r>
          </w:p>
        </w:tc>
        <w:tc>
          <w:tcPr>
            <w:tcW w:w="1702" w:type="dxa"/>
            <w:gridSpan w:val="2"/>
          </w:tcPr>
          <w:p w14:paraId="05E23316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51CE8ABD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1D304BB3" w14:textId="77777777" w:rsidTr="00E66FBF">
        <w:tc>
          <w:tcPr>
            <w:tcW w:w="4110" w:type="dxa"/>
            <w:gridSpan w:val="2"/>
          </w:tcPr>
          <w:p w14:paraId="43784CDC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Лермонтов и Гоголь на экране</w:t>
            </w:r>
          </w:p>
        </w:tc>
        <w:tc>
          <w:tcPr>
            <w:tcW w:w="1702" w:type="dxa"/>
            <w:gridSpan w:val="2"/>
          </w:tcPr>
          <w:p w14:paraId="792977A6" w14:textId="64AD67FE" w:rsidR="002E6EE9" w:rsidRPr="000C2409" w:rsidRDefault="000C240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46E01271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1850F36B" w14:textId="77777777" w:rsidTr="00E66FBF">
        <w:tc>
          <w:tcPr>
            <w:tcW w:w="4110" w:type="dxa"/>
            <w:gridSpan w:val="2"/>
          </w:tcPr>
          <w:p w14:paraId="60D4D2EA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Современники Б. Пастернака в его романе: М. Цветаева, А. Блок, В. Маяковский.</w:t>
            </w:r>
          </w:p>
        </w:tc>
        <w:tc>
          <w:tcPr>
            <w:tcW w:w="1702" w:type="dxa"/>
            <w:gridSpan w:val="2"/>
          </w:tcPr>
          <w:p w14:paraId="5FAC4062" w14:textId="31CBD883" w:rsidR="002E6EE9" w:rsidRPr="000C2409" w:rsidRDefault="000C240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6E2EE696" w14:textId="77777777" w:rsidR="002E6EE9" w:rsidRPr="00B62A37" w:rsidRDefault="002E6EE9" w:rsidP="00E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 комментарий эпизода романа «Доктор Живаго»</w:t>
            </w:r>
          </w:p>
        </w:tc>
      </w:tr>
      <w:tr w:rsidR="002E6EE9" w:rsidRPr="00B62A37" w14:paraId="5D1F292B" w14:textId="77777777" w:rsidTr="00E66FBF">
        <w:tc>
          <w:tcPr>
            <w:tcW w:w="4110" w:type="dxa"/>
            <w:gridSpan w:val="2"/>
          </w:tcPr>
          <w:p w14:paraId="74970B23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Чехов на экране</w:t>
            </w:r>
          </w:p>
        </w:tc>
        <w:tc>
          <w:tcPr>
            <w:tcW w:w="1702" w:type="dxa"/>
            <w:gridSpan w:val="2"/>
          </w:tcPr>
          <w:p w14:paraId="6193318D" w14:textId="08C76818" w:rsidR="002E6EE9" w:rsidRPr="000C2409" w:rsidRDefault="000C240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14:paraId="66E0E788" w14:textId="77777777"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Эссе по экранизации книги</w:t>
            </w:r>
          </w:p>
        </w:tc>
      </w:tr>
      <w:tr w:rsidR="002E6EE9" w:rsidRPr="00B62A37" w14:paraId="0106B087" w14:textId="77777777" w:rsidTr="00126360">
        <w:tc>
          <w:tcPr>
            <w:tcW w:w="4110" w:type="dxa"/>
            <w:gridSpan w:val="2"/>
          </w:tcPr>
          <w:p w14:paraId="0F7B2B85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Была ли литература в Древней </w:t>
            </w:r>
            <w:proofErr w:type="gramStart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Руси ?</w:t>
            </w:r>
            <w:proofErr w:type="gramEnd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 Истина и вымысел, автор и авторитет. Темы и виды древнерусской книжности.</w:t>
            </w:r>
          </w:p>
        </w:tc>
        <w:tc>
          <w:tcPr>
            <w:tcW w:w="1702" w:type="dxa"/>
            <w:gridSpan w:val="2"/>
          </w:tcPr>
          <w:p w14:paraId="03413914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78376ABC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638026B2" w14:textId="77777777" w:rsidTr="00126360">
        <w:tc>
          <w:tcPr>
            <w:tcW w:w="4110" w:type="dxa"/>
            <w:gridSpan w:val="2"/>
          </w:tcPr>
          <w:p w14:paraId="78AEE9C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Начало славянской письменности или как нам повезло.</w:t>
            </w:r>
          </w:p>
        </w:tc>
        <w:tc>
          <w:tcPr>
            <w:tcW w:w="1702" w:type="dxa"/>
            <w:gridSpan w:val="2"/>
          </w:tcPr>
          <w:p w14:paraId="694A9297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6CE68B70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4F270B73" w14:textId="77777777" w:rsidTr="00126360">
        <w:tc>
          <w:tcPr>
            <w:tcW w:w="4110" w:type="dxa"/>
            <w:gridSpan w:val="2"/>
          </w:tcPr>
          <w:p w14:paraId="465960CB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Вещество текста: кто, где, как и на чем писал.</w:t>
            </w:r>
          </w:p>
        </w:tc>
        <w:tc>
          <w:tcPr>
            <w:tcW w:w="1702" w:type="dxa"/>
            <w:gridSpan w:val="2"/>
          </w:tcPr>
          <w:p w14:paraId="6DE31553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3BB5F93A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68389BF" w14:textId="77777777" w:rsidTr="00126360">
        <w:tc>
          <w:tcPr>
            <w:tcW w:w="4110" w:type="dxa"/>
            <w:gridSpan w:val="2"/>
          </w:tcPr>
          <w:p w14:paraId="27EF0B67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Летопись, хроника, сага... Русское и европейское средневековье о самом себе.</w:t>
            </w:r>
          </w:p>
        </w:tc>
        <w:tc>
          <w:tcPr>
            <w:tcW w:w="1702" w:type="dxa"/>
            <w:gridSpan w:val="2"/>
          </w:tcPr>
          <w:p w14:paraId="189532FB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2ED1826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4646AB1" w14:textId="77777777" w:rsidTr="00126360">
        <w:tc>
          <w:tcPr>
            <w:tcW w:w="4110" w:type="dxa"/>
            <w:gridSpan w:val="2"/>
          </w:tcPr>
          <w:p w14:paraId="6F483B4D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 варяг в греки" – общий взгляд на тексты Киевской Руси.</w:t>
            </w:r>
          </w:p>
        </w:tc>
        <w:tc>
          <w:tcPr>
            <w:tcW w:w="1702" w:type="dxa"/>
            <w:gridSpan w:val="2"/>
          </w:tcPr>
          <w:p w14:paraId="4117EDC9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4E0A18C0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45A82F5" w14:textId="77777777" w:rsidTr="00126360">
        <w:tc>
          <w:tcPr>
            <w:tcW w:w="4110" w:type="dxa"/>
            <w:gridSpan w:val="2"/>
          </w:tcPr>
          <w:p w14:paraId="4B5E0C8D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От жития святого до  пособия по соколиной охоте: Московская Русь в сочинениях разных жанров.</w:t>
            </w:r>
          </w:p>
        </w:tc>
        <w:tc>
          <w:tcPr>
            <w:tcW w:w="1702" w:type="dxa"/>
            <w:gridSpan w:val="2"/>
          </w:tcPr>
          <w:p w14:paraId="721447A0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0F0CAD2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474BBF7" w14:textId="77777777" w:rsidTr="00126360">
        <w:tc>
          <w:tcPr>
            <w:tcW w:w="4110" w:type="dxa"/>
            <w:gridSpan w:val="2"/>
          </w:tcPr>
          <w:p w14:paraId="4F5EE524" w14:textId="77777777" w:rsidR="002E6EE9" w:rsidRPr="00B62A37" w:rsidRDefault="002E6EE9" w:rsidP="0012636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XVII  век. Начало больших перемен.</w:t>
            </w:r>
          </w:p>
          <w:p w14:paraId="068984E7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14:paraId="64BC37D4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23B6BCC6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7E6AC2E4" w14:textId="77777777" w:rsidTr="00126360">
        <w:tc>
          <w:tcPr>
            <w:tcW w:w="4110" w:type="dxa"/>
            <w:gridSpan w:val="2"/>
          </w:tcPr>
          <w:p w14:paraId="7D5BC9DE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Иностранцы о Руси – что открыто и что сокрыто для внешнего наблюдателя.</w:t>
            </w:r>
          </w:p>
        </w:tc>
        <w:tc>
          <w:tcPr>
            <w:tcW w:w="1702" w:type="dxa"/>
            <w:gridSpan w:val="2"/>
          </w:tcPr>
          <w:p w14:paraId="455C535E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01F71199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62A23465" w14:textId="77777777" w:rsidTr="00126360">
        <w:tc>
          <w:tcPr>
            <w:tcW w:w="4110" w:type="dxa"/>
            <w:gridSpan w:val="2"/>
          </w:tcPr>
          <w:p w14:paraId="60C39A64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Книжность и изобразительное искусство.</w:t>
            </w:r>
          </w:p>
        </w:tc>
        <w:tc>
          <w:tcPr>
            <w:tcW w:w="1702" w:type="dxa"/>
            <w:gridSpan w:val="2"/>
          </w:tcPr>
          <w:p w14:paraId="4B06DEF2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61A3C3FA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Итоговое эссе</w:t>
            </w:r>
          </w:p>
        </w:tc>
      </w:tr>
      <w:tr w:rsidR="002E6EE9" w:rsidRPr="00B62A37" w14:paraId="6D1AB366" w14:textId="77777777" w:rsidTr="00126360">
        <w:tc>
          <w:tcPr>
            <w:tcW w:w="4110" w:type="dxa"/>
            <w:gridSpan w:val="2"/>
          </w:tcPr>
          <w:p w14:paraId="03C0FA16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«Чужое слово» в истории литературы и в работе филолога. Плагиат. Правила научного цитирования  </w:t>
            </w:r>
          </w:p>
        </w:tc>
        <w:tc>
          <w:tcPr>
            <w:tcW w:w="1702" w:type="dxa"/>
            <w:gridSpan w:val="2"/>
          </w:tcPr>
          <w:p w14:paraId="1D46C6FB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14:paraId="3F4C4C5F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35EDE757" w14:textId="77777777" w:rsidTr="00126360">
        <w:tc>
          <w:tcPr>
            <w:tcW w:w="4110" w:type="dxa"/>
            <w:gridSpan w:val="2"/>
          </w:tcPr>
          <w:p w14:paraId="3461368F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Эссе как академический и литературный жанр. Эссе в американской и русской академической традиции </w:t>
            </w:r>
          </w:p>
        </w:tc>
        <w:tc>
          <w:tcPr>
            <w:tcW w:w="1702" w:type="dxa"/>
            <w:gridSpan w:val="2"/>
          </w:tcPr>
          <w:p w14:paraId="1076D203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14:paraId="39636A33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4EAF8733" w14:textId="77777777" w:rsidTr="00126360">
        <w:tc>
          <w:tcPr>
            <w:tcW w:w="4110" w:type="dxa"/>
            <w:gridSpan w:val="2"/>
          </w:tcPr>
          <w:p w14:paraId="02D0D305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конспектирование и реферирование</w:t>
            </w:r>
          </w:p>
        </w:tc>
        <w:tc>
          <w:tcPr>
            <w:tcW w:w="1702" w:type="dxa"/>
            <w:gridSpan w:val="2"/>
          </w:tcPr>
          <w:p w14:paraId="203C1533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14:paraId="3C0609B7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Конспект статьи</w:t>
            </w:r>
          </w:p>
        </w:tc>
      </w:tr>
      <w:tr w:rsidR="002E6EE9" w:rsidRPr="00B62A37" w14:paraId="5564C559" w14:textId="77777777" w:rsidTr="00126360">
        <w:tc>
          <w:tcPr>
            <w:tcW w:w="4110" w:type="dxa"/>
            <w:gridSpan w:val="2"/>
          </w:tcPr>
          <w:p w14:paraId="3EE28193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научными текстами: аннотирование </w:t>
            </w:r>
          </w:p>
        </w:tc>
        <w:tc>
          <w:tcPr>
            <w:tcW w:w="1702" w:type="dxa"/>
            <w:gridSpan w:val="2"/>
          </w:tcPr>
          <w:p w14:paraId="1291BA46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14:paraId="7BA3C90C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Мини-аннотация одной из работ по теме проекта</w:t>
            </w:r>
          </w:p>
        </w:tc>
      </w:tr>
      <w:tr w:rsidR="002E6EE9" w:rsidRPr="00B62A37" w14:paraId="5C5B1D91" w14:textId="77777777" w:rsidTr="00126360">
        <w:tc>
          <w:tcPr>
            <w:tcW w:w="4110" w:type="dxa"/>
            <w:gridSpan w:val="2"/>
          </w:tcPr>
          <w:p w14:paraId="15F3C81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Рецензия на научное издание</w:t>
            </w:r>
          </w:p>
          <w:p w14:paraId="444EFAC2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14:paraId="24F6C25D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14:paraId="298B341E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2502F680" w14:textId="77777777" w:rsidTr="00126360">
        <w:tc>
          <w:tcPr>
            <w:tcW w:w="4110" w:type="dxa"/>
            <w:gridSpan w:val="2"/>
          </w:tcPr>
          <w:p w14:paraId="2E8A2622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библиографического описания: принципы библиографирования. оформление ссылок </w:t>
            </w:r>
          </w:p>
        </w:tc>
        <w:tc>
          <w:tcPr>
            <w:tcW w:w="1702" w:type="dxa"/>
            <w:gridSpan w:val="2"/>
          </w:tcPr>
          <w:p w14:paraId="04E5B3C2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14:paraId="7B2DBEF0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14:paraId="6BBD1368" w14:textId="77777777" w:rsidTr="00126360">
        <w:tc>
          <w:tcPr>
            <w:tcW w:w="4110" w:type="dxa"/>
            <w:gridSpan w:val="2"/>
          </w:tcPr>
          <w:p w14:paraId="7DB742F8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обзор научной литературы по теме</w:t>
            </w:r>
          </w:p>
        </w:tc>
        <w:tc>
          <w:tcPr>
            <w:tcW w:w="1702" w:type="dxa"/>
            <w:gridSpan w:val="2"/>
          </w:tcPr>
          <w:p w14:paraId="7A91265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14:paraId="2D77E5F1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библиографии к теме проекта</w:t>
            </w:r>
          </w:p>
        </w:tc>
      </w:tr>
      <w:tr w:rsidR="002E6EE9" w:rsidRPr="00B62A37" w14:paraId="33DB3C30" w14:textId="77777777" w:rsidTr="00126360">
        <w:tc>
          <w:tcPr>
            <w:tcW w:w="4110" w:type="dxa"/>
            <w:gridSpan w:val="2"/>
          </w:tcPr>
          <w:p w14:paraId="4F9E7A36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устного выступления (научный доклад на конференции)</w:t>
            </w:r>
          </w:p>
          <w:p w14:paraId="0DC34628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14:paraId="17672C86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14:paraId="6C23C8CC" w14:textId="77777777"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мини-сообщение по теме проекта (5 мин)</w:t>
            </w:r>
          </w:p>
        </w:tc>
      </w:tr>
      <w:tr w:rsidR="002E6EE9" w:rsidRPr="00B62A37" w14:paraId="4167B462" w14:textId="77777777" w:rsidTr="00126360">
        <w:trPr>
          <w:gridAfter w:val="2"/>
          <w:wAfter w:w="4110" w:type="dxa"/>
        </w:trPr>
        <w:tc>
          <w:tcPr>
            <w:tcW w:w="1702" w:type="dxa"/>
          </w:tcPr>
          <w:p w14:paraId="7CA0BD7F" w14:textId="77777777"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84" w:type="dxa"/>
            <w:gridSpan w:val="2"/>
          </w:tcPr>
          <w:p w14:paraId="3D92BCF4" w14:textId="0D28304B"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24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E6EE9" w:rsidRPr="00B62A37" w14:paraId="72CC1E52" w14:textId="77777777" w:rsidTr="00126360">
        <w:trPr>
          <w:gridAfter w:val="2"/>
          <w:wAfter w:w="4110" w:type="dxa"/>
        </w:trPr>
        <w:tc>
          <w:tcPr>
            <w:tcW w:w="1702" w:type="dxa"/>
          </w:tcPr>
          <w:p w14:paraId="427FE1FA" w14:textId="77777777"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14:paraId="3F0D0D83" w14:textId="77777777"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AC1C9D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4D2956B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DBAF061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14:paraId="67A49027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2F3B1CFC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14:paraId="09D3A9D8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14:paraId="18278316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EDC9EA3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0BE9D2C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BA05F2D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7270120B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07121E3" w14:textId="77777777" w:rsidR="00782720" w:rsidRDefault="00782720" w:rsidP="007827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BB437C9" w14:textId="77777777" w:rsidR="00E35140" w:rsidRPr="00B62A37" w:rsidRDefault="00E35140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CE791" w14:textId="77777777" w:rsidR="006428FF" w:rsidRDefault="006428FF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CA5CE" w14:textId="77777777"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1D19AB0" w14:textId="77777777"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283D63" w14:textId="77777777" w:rsidR="002E6EE9" w:rsidRPr="002F1952" w:rsidRDefault="002E6EE9" w:rsidP="002E6EE9">
      <w:pPr>
        <w:pStyle w:val="a6"/>
        <w:numPr>
          <w:ilvl w:val="0"/>
          <w:numId w:val="4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2F1952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F1952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14:paraId="3FC7C493" w14:textId="77777777" w:rsidR="002E6EE9" w:rsidRPr="00B62A37" w:rsidRDefault="002E6EE9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D0B6C" w14:textId="77777777"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E3C2E22" w14:textId="77777777"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C2D0F4" w14:textId="77777777"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DD6EB31" w14:textId="77777777"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9ACBC" w14:textId="77777777" w:rsidR="00B62A37" w:rsidRPr="00B62A37" w:rsidRDefault="00B62A37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A37" w:rsidRPr="00B62A37" w:rsidSect="001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6B16"/>
    <w:multiLevelType w:val="hybridMultilevel"/>
    <w:tmpl w:val="09101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AB83CA7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1F75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C2409"/>
    <w:rsid w:val="00140076"/>
    <w:rsid w:val="001E33E3"/>
    <w:rsid w:val="002E6EE9"/>
    <w:rsid w:val="002F2C8F"/>
    <w:rsid w:val="005368F5"/>
    <w:rsid w:val="006428FF"/>
    <w:rsid w:val="006E2C52"/>
    <w:rsid w:val="00782720"/>
    <w:rsid w:val="007D5E34"/>
    <w:rsid w:val="00925649"/>
    <w:rsid w:val="009E7C14"/>
    <w:rsid w:val="00B252CE"/>
    <w:rsid w:val="00B62A37"/>
    <w:rsid w:val="00B66E74"/>
    <w:rsid w:val="00C141B4"/>
    <w:rsid w:val="00C67714"/>
    <w:rsid w:val="00CA0D49"/>
    <w:rsid w:val="00D51A49"/>
    <w:rsid w:val="00D72E27"/>
    <w:rsid w:val="00D86C9C"/>
    <w:rsid w:val="00DD374D"/>
    <w:rsid w:val="00DD5C2C"/>
    <w:rsid w:val="00E20462"/>
    <w:rsid w:val="00E25A6A"/>
    <w:rsid w:val="00E35140"/>
    <w:rsid w:val="00E53940"/>
    <w:rsid w:val="00E66FBF"/>
    <w:rsid w:val="00E8322E"/>
    <w:rsid w:val="00FA1C0C"/>
    <w:rsid w:val="00FB02F7"/>
    <w:rsid w:val="00FC2DBA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70E62"/>
  <w15:docId w15:val="{02D7DFA9-69CA-488E-B2A5-75B2D3A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A37"/>
    <w:pPr>
      <w:ind w:left="720"/>
      <w:contextualSpacing/>
    </w:pPr>
  </w:style>
  <w:style w:type="paragraph" w:styleId="a7">
    <w:name w:val="Normal (Web)"/>
    <w:basedOn w:val="a"/>
    <w:rsid w:val="002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772F-B3F7-476B-8B97-27D8454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2021-07-06T07:26:00Z</dcterms:created>
  <dcterms:modified xsi:type="dcterms:W3CDTF">2021-10-21T11:54:00Z</dcterms:modified>
</cp:coreProperties>
</file>