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4" w:rsidRPr="00743CE4" w:rsidRDefault="00743CE4" w:rsidP="00E85154">
      <w:pPr>
        <w:tabs>
          <w:tab w:val="left" w:pos="4962"/>
        </w:tabs>
      </w:pPr>
    </w:p>
    <w:tbl>
      <w:tblPr>
        <w:tblW w:w="23434" w:type="dxa"/>
        <w:tblLook w:val="00A0" w:firstRow="1" w:lastRow="0" w:firstColumn="1" w:lastColumn="0" w:noHBand="0" w:noVBand="0"/>
      </w:tblPr>
      <w:tblGrid>
        <w:gridCol w:w="4695"/>
        <w:gridCol w:w="4695"/>
        <w:gridCol w:w="4695"/>
        <w:gridCol w:w="4695"/>
        <w:gridCol w:w="4654"/>
      </w:tblGrid>
      <w:tr w:rsidR="00E85154" w:rsidRPr="00EC67F6" w:rsidTr="00E85154">
        <w:tc>
          <w:tcPr>
            <w:tcW w:w="4695" w:type="dxa"/>
          </w:tcPr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F6778C">
              <w:rPr>
                <w:sz w:val="26"/>
                <w:szCs w:val="26"/>
              </w:rPr>
              <w:t>исследовательский</w:t>
            </w:r>
            <w:proofErr w:type="gramEnd"/>
            <w:r w:rsidRPr="00F6778C">
              <w:rPr>
                <w:sz w:val="26"/>
                <w:szCs w:val="26"/>
              </w:rPr>
              <w:t xml:space="preserve"> университет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E85154" w:rsidRPr="00F6778C" w:rsidRDefault="00E85154" w:rsidP="00E85154">
            <w:pPr>
              <w:pStyle w:val="a7"/>
              <w:spacing w:before="0" w:beforeAutospacing="0" w:after="0" w:afterAutospacing="0" w:line="276" w:lineRule="auto"/>
              <w:ind w:right="-1050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E85154" w:rsidRPr="00F6778C" w:rsidRDefault="00E85154" w:rsidP="00E851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154" w:rsidRPr="00F6778C" w:rsidRDefault="00E85154" w:rsidP="00E851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03798A" w:rsidRDefault="00D13AA4" w:rsidP="00E8515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328</w:t>
            </w:r>
            <w:bookmarkStart w:id="0" w:name="_GoBack"/>
            <w:bookmarkEnd w:id="0"/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F6778C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F6778C">
              <w:rPr>
                <w:b w:val="0"/>
                <w:sz w:val="26"/>
                <w:szCs w:val="26"/>
              </w:rPr>
              <w:t xml:space="preserve"> советом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F6778C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F6778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№15 от 22.08.2019г.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EC67F6" w:rsidRDefault="00E85154" w:rsidP="00E85154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E85154" w:rsidRPr="00EC67F6" w:rsidRDefault="00E85154" w:rsidP="00E85154">
            <w:pPr>
              <w:ind w:left="708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9460E">
        <w:rPr>
          <w:rFonts w:ascii="Times New Roman" w:hAnsi="Times New Roman" w:cs="Times New Roman"/>
          <w:b/>
          <w:bCs/>
          <w:sz w:val="26"/>
          <w:szCs w:val="26"/>
        </w:rPr>
        <w:t xml:space="preserve">Введение в </w:t>
      </w:r>
      <w:r w:rsidR="00936BDC">
        <w:rPr>
          <w:rFonts w:ascii="Times New Roman" w:hAnsi="Times New Roman" w:cs="Times New Roman"/>
          <w:b/>
          <w:bCs/>
          <w:sz w:val="26"/>
          <w:szCs w:val="26"/>
        </w:rPr>
        <w:t>политическую теорию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E8515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E0" w:rsidRPr="00B9460E" w:rsidRDefault="00B9460E" w:rsidP="00C73EE0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FD2796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FA1C0C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ab/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33D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решаются задачи определения предмета и основной проблематики изучаемой дисциплины, рассматриваются содержание и основные понятия современных теорий международных отношений, особенности отдельных традиций и связанных с ними школ теории международных отношений. Слушателям дается возможность оценить превалирующие на каждом из исторических этапов теоретические подходы и концепции 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</w:t>
      </w:r>
      <w:r w:rsidR="004169AB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4169AB" w:rsidRPr="00F040BF">
        <w:rPr>
          <w:rFonts w:ascii="Times New Roman" w:hAnsi="Times New Roman" w:cs="Times New Roman"/>
          <w:sz w:val="24"/>
          <w:szCs w:val="24"/>
        </w:rPr>
        <w:t>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</w:t>
      </w:r>
      <w:r w:rsidR="004169AB">
        <w:rPr>
          <w:rFonts w:ascii="Times New Roman" w:hAnsi="Times New Roman" w:cs="Times New Roman"/>
          <w:sz w:val="24"/>
          <w:szCs w:val="24"/>
        </w:rPr>
        <w:t xml:space="preserve">азвития международных процессов, что будет востребовано при дальнейшей специализации в рамках данной профессиональной ориентации. </w:t>
      </w:r>
    </w:p>
    <w:p w:rsidR="004169AB" w:rsidRPr="00F040BF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Цель курса: дать систематизированн</w:t>
      </w:r>
      <w:r w:rsidR="008A33DE">
        <w:rPr>
          <w:rFonts w:ascii="Times New Roman" w:hAnsi="Times New Roman" w:cs="Times New Roman"/>
          <w:sz w:val="24"/>
          <w:szCs w:val="24"/>
        </w:rPr>
        <w:t>ое и целостное представление о</w:t>
      </w:r>
      <w:r w:rsidR="00B9460E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8A33DE">
        <w:rPr>
          <w:rFonts w:ascii="Times New Roman" w:hAnsi="Times New Roman" w:cs="Times New Roman"/>
          <w:sz w:val="24"/>
          <w:szCs w:val="24"/>
        </w:rPr>
        <w:t xml:space="preserve"> международных отношени</w:t>
      </w:r>
      <w:r w:rsidR="00B9460E">
        <w:rPr>
          <w:rFonts w:ascii="Times New Roman" w:hAnsi="Times New Roman" w:cs="Times New Roman"/>
          <w:sz w:val="24"/>
          <w:szCs w:val="24"/>
        </w:rPr>
        <w:t>й</w:t>
      </w:r>
      <w:r w:rsidR="008A33DE">
        <w:rPr>
          <w:rFonts w:ascii="Times New Roman" w:hAnsi="Times New Roman" w:cs="Times New Roman"/>
          <w:sz w:val="24"/>
          <w:szCs w:val="24"/>
        </w:rPr>
        <w:t xml:space="preserve"> и </w:t>
      </w:r>
      <w:r w:rsidRPr="00F040BF">
        <w:rPr>
          <w:rFonts w:ascii="Times New Roman" w:hAnsi="Times New Roman" w:cs="Times New Roman"/>
          <w:sz w:val="24"/>
          <w:szCs w:val="24"/>
        </w:rPr>
        <w:t xml:space="preserve">основных подходах к изучению международных отношений как дисциплины, их исторической эволюции и влиянии, сформировать у студентов целостное представление о </w:t>
      </w:r>
      <w:r w:rsidR="00B9460E">
        <w:rPr>
          <w:rFonts w:ascii="Times New Roman" w:hAnsi="Times New Roman" w:cs="Times New Roman"/>
          <w:sz w:val="24"/>
          <w:szCs w:val="24"/>
        </w:rPr>
        <w:t xml:space="preserve">теориях </w:t>
      </w:r>
      <w:r w:rsidRPr="00F040BF">
        <w:rPr>
          <w:rFonts w:ascii="Times New Roman" w:hAnsi="Times New Roman" w:cs="Times New Roman"/>
          <w:sz w:val="24"/>
          <w:szCs w:val="24"/>
        </w:rPr>
        <w:t>международных отношениях как исторически сложившейся и развивающейся реальности.</w:t>
      </w:r>
      <w:r w:rsidR="00CD0175">
        <w:rPr>
          <w:rFonts w:ascii="Times New Roman" w:hAnsi="Times New Roman" w:cs="Times New Roman"/>
          <w:sz w:val="24"/>
          <w:szCs w:val="24"/>
        </w:rPr>
        <w:t xml:space="preserve"> </w:t>
      </w:r>
      <w:r w:rsidRPr="00F040BF">
        <w:rPr>
          <w:rFonts w:ascii="Times New Roman" w:hAnsi="Times New Roman" w:cs="Times New Roman"/>
          <w:sz w:val="24"/>
          <w:szCs w:val="24"/>
        </w:rPr>
        <w:t xml:space="preserve">В соответствии с указанными </w:t>
      </w: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F040BF">
        <w:rPr>
          <w:rFonts w:ascii="Times New Roman" w:hAnsi="Times New Roman" w:cs="Times New Roman"/>
          <w:sz w:val="24"/>
          <w:szCs w:val="24"/>
        </w:rPr>
        <w:t>курса в его основу положено систематическо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различных традиций, школ и направлений теории международных отношений</w:t>
      </w:r>
      <w:r w:rsidR="00405E6A">
        <w:rPr>
          <w:rFonts w:ascii="Times New Roman" w:hAnsi="Times New Roman" w:cs="Times New Roman"/>
          <w:sz w:val="24"/>
          <w:szCs w:val="24"/>
        </w:rPr>
        <w:t>.</w:t>
      </w:r>
      <w:r w:rsidRPr="00F040BF">
        <w:rPr>
          <w:rFonts w:ascii="Times New Roman" w:hAnsi="Times New Roman" w:cs="Times New Roman"/>
          <w:sz w:val="24"/>
          <w:szCs w:val="24"/>
        </w:rPr>
        <w:t xml:space="preserve"> Центральные вопросы и проблемы международных отношений – суверенитет, </w:t>
      </w:r>
      <w:proofErr w:type="spellStart"/>
      <w:r w:rsidRPr="00F040B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F040BF">
        <w:rPr>
          <w:rFonts w:ascii="Times New Roman" w:hAnsi="Times New Roman" w:cs="Times New Roman"/>
          <w:sz w:val="24"/>
          <w:szCs w:val="24"/>
        </w:rPr>
        <w:t>, безопасность, право, институты – затрагиваются в той или иной мере в каждой теме. Вместе с тем, наиболее актуальные для современной теоретической наук</w:t>
      </w:r>
      <w:r w:rsidR="00405E6A">
        <w:rPr>
          <w:rFonts w:ascii="Times New Roman" w:hAnsi="Times New Roman" w:cs="Times New Roman"/>
          <w:sz w:val="24"/>
          <w:szCs w:val="24"/>
        </w:rPr>
        <w:t>и</w:t>
      </w:r>
      <w:r w:rsidRPr="00F040BF">
        <w:rPr>
          <w:rFonts w:ascii="Times New Roman" w:hAnsi="Times New Roman" w:cs="Times New Roman"/>
          <w:sz w:val="24"/>
          <w:szCs w:val="24"/>
        </w:rPr>
        <w:t xml:space="preserve"> проблемы рассматриваются особо, что позволяет уже в иной перспективе, сравнить взгляды различных теоретических школ.</w:t>
      </w:r>
    </w:p>
    <w:p w:rsidR="00FA1C0C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</w:t>
      </w:r>
      <w:r w:rsidR="00F761D7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Pr="00F040BF">
        <w:rPr>
          <w:rFonts w:ascii="Times New Roman" w:hAnsi="Times New Roman" w:cs="Times New Roman"/>
          <w:sz w:val="24"/>
          <w:szCs w:val="24"/>
        </w:rPr>
        <w:t xml:space="preserve"> текущие политические события в широком международно-политическом и историческом контексте</w:t>
      </w:r>
      <w:r w:rsidR="00405E6A">
        <w:rPr>
          <w:rFonts w:ascii="Times New Roman" w:hAnsi="Times New Roman" w:cs="Times New Roman"/>
          <w:sz w:val="24"/>
          <w:szCs w:val="24"/>
        </w:rPr>
        <w:t>, опираясь на пласт трудов теоретиков международных отношений</w:t>
      </w:r>
      <w:r w:rsidRPr="00F040BF">
        <w:rPr>
          <w:rFonts w:ascii="Times New Roman" w:hAnsi="Times New Roman" w:cs="Times New Roman"/>
          <w:sz w:val="24"/>
          <w:szCs w:val="24"/>
        </w:rPr>
        <w:t>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4169AB" w:rsidRDefault="00CD0175" w:rsidP="0041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75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CD01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1C0C" w:rsidRPr="00CD0175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175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</w:t>
      </w:r>
      <w:r w:rsidR="00E35140" w:rsidRPr="00F11DBD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CD0175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  <w:r w:rsidR="00D51A49" w:rsidRPr="00CD017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CD0175" w:rsidTr="00B9460E">
        <w:tc>
          <w:tcPr>
            <w:tcW w:w="62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CD0175" w:rsidTr="00B9460E">
        <w:tc>
          <w:tcPr>
            <w:tcW w:w="624" w:type="dxa"/>
          </w:tcPr>
          <w:p w:rsidR="007D5E34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7D5E34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Зачем нужна наука о международных отношениях? Роль и место ТМО в современных социальных науках</w:t>
            </w:r>
          </w:p>
        </w:tc>
        <w:tc>
          <w:tcPr>
            <w:tcW w:w="2184" w:type="dxa"/>
          </w:tcPr>
          <w:p w:rsidR="007D5E34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отношений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Фукидид –  начало классической традиции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4169AB" w:rsidRPr="00743CE4" w:rsidRDefault="00CD0175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философия Джона 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Локка и Томаса Гоббса и ее влияние на развитие классических парадигм международной науки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либеральной парадигмы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реалистской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парадигмы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Проблема международных отношений в марксизме</w:t>
            </w:r>
            <w:r w:rsidR="00E172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172E3">
              <w:rPr>
                <w:rFonts w:ascii="Times New Roman" w:hAnsi="Times New Roman" w:cs="Times New Roman"/>
                <w:sz w:val="24"/>
                <w:szCs w:val="24"/>
              </w:rPr>
              <w:t>неомарксизме</w:t>
            </w:r>
            <w:proofErr w:type="spellEnd"/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Современные дебаты в науке о международных отношениях. Конструктивизм и другие альтернативные подходы к изучению МО</w:t>
            </w:r>
          </w:p>
        </w:tc>
        <w:tc>
          <w:tcPr>
            <w:tcW w:w="218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вызовы безопасности и угрозы в XXI веке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и их роль в современном мире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Российская наука о международных отношениях на современном этапе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52618A" w:rsidRPr="00CD0175" w:rsidTr="00B9460E">
        <w:trPr>
          <w:trHeight w:val="276"/>
        </w:trPr>
        <w:tc>
          <w:tcPr>
            <w:tcW w:w="624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4" w:type="dxa"/>
          </w:tcPr>
          <w:p w:rsidR="0052618A" w:rsidRPr="0052618A" w:rsidRDefault="00E172E3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73EE0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172E3" w:rsidRDefault="00C73EE0" w:rsidP="00E172E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и др./Под ред. </w:t>
      </w:r>
      <w:proofErr w:type="spellStart"/>
      <w:r w:rsidRPr="00C73EE0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EE0">
        <w:rPr>
          <w:rFonts w:ascii="Times New Roman" w:hAnsi="Times New Roman" w:cs="Times New Roman"/>
          <w:sz w:val="24"/>
          <w:szCs w:val="24"/>
        </w:rPr>
        <w:t>Всеобщая история. Новейшая история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C73EE0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E172E3" w:rsidRPr="00E172E3" w:rsidRDefault="00E172E3" w:rsidP="00E172E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Бордачев</w:t>
      </w:r>
      <w:proofErr w:type="spellEnd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proofErr w:type="gramStart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Зиновьева</w:t>
      </w:r>
      <w:proofErr w:type="gramEnd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С.</w:t>
      </w:r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Лихачева А. Б.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международных отношений в XXI веке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Рук.: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В. </w:t>
      </w:r>
      <w:proofErr w:type="spellStart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Бордачев</w:t>
      </w:r>
      <w:proofErr w:type="spellEnd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 "Международные отношения", 2015.</w:t>
      </w:r>
    </w:p>
    <w:p w:rsidR="00E172E3" w:rsidRPr="00C73EE0" w:rsidRDefault="00E172E3" w:rsidP="00E172E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2E3" w:rsidRPr="00C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190F50"/>
    <w:rsid w:val="00352BBF"/>
    <w:rsid w:val="003A02E2"/>
    <w:rsid w:val="00405E6A"/>
    <w:rsid w:val="004169AB"/>
    <w:rsid w:val="00506D8F"/>
    <w:rsid w:val="0052618A"/>
    <w:rsid w:val="00574244"/>
    <w:rsid w:val="006661BB"/>
    <w:rsid w:val="00743CE4"/>
    <w:rsid w:val="007D5E34"/>
    <w:rsid w:val="008A33DE"/>
    <w:rsid w:val="008F407B"/>
    <w:rsid w:val="00925649"/>
    <w:rsid w:val="00936BDC"/>
    <w:rsid w:val="00B9460E"/>
    <w:rsid w:val="00C141B4"/>
    <w:rsid w:val="00C73EE0"/>
    <w:rsid w:val="00CD0175"/>
    <w:rsid w:val="00D13AA4"/>
    <w:rsid w:val="00D51A49"/>
    <w:rsid w:val="00D72E27"/>
    <w:rsid w:val="00E172E3"/>
    <w:rsid w:val="00E35140"/>
    <w:rsid w:val="00E85154"/>
    <w:rsid w:val="00EC6E89"/>
    <w:rsid w:val="00F11DBD"/>
    <w:rsid w:val="00F761D7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BE90D4-6C3F-4F97-BC4A-8C015D64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E172E3"/>
  </w:style>
  <w:style w:type="paragraph" w:customStyle="1" w:styleId="21">
    <w:name w:val="Основной текст 21"/>
    <w:basedOn w:val="a0"/>
    <w:rsid w:val="00E172E3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color w:val="00000A"/>
      <w:kern w:val="1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CDF9-69C0-4578-A2D1-493872AE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3</cp:revision>
  <dcterms:created xsi:type="dcterms:W3CDTF">2019-11-05T10:44:00Z</dcterms:created>
  <dcterms:modified xsi:type="dcterms:W3CDTF">2019-11-05T11:02:00Z</dcterms:modified>
</cp:coreProperties>
</file>