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E4" w:rsidRPr="00743CE4" w:rsidRDefault="00743CE4"/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743CE4" w:rsidRPr="00EC67F6" w:rsidTr="000211A3">
        <w:tc>
          <w:tcPr>
            <w:tcW w:w="4695" w:type="dxa"/>
          </w:tcPr>
          <w:p w:rsidR="00743CE4" w:rsidRPr="00C97CCD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43CE4" w:rsidRPr="00C93A31" w:rsidRDefault="00743CE4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43CE4" w:rsidRPr="00C93A31" w:rsidRDefault="00743CE4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43CE4" w:rsidRPr="00C93A31" w:rsidRDefault="00743CE4" w:rsidP="000211A3">
            <w:pPr>
              <w:contextualSpacing/>
              <w:rPr>
                <w:sz w:val="26"/>
                <w:szCs w:val="26"/>
              </w:rPr>
            </w:pPr>
          </w:p>
          <w:p w:rsidR="00743CE4" w:rsidRPr="00EC67F6" w:rsidRDefault="00743CE4" w:rsidP="000211A3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743CE4" w:rsidRPr="001F32BF" w:rsidRDefault="00743CE4" w:rsidP="000211A3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18</w:t>
            </w:r>
            <w:r w:rsidR="00574244">
              <w:rPr>
                <w:b/>
                <w:sz w:val="26"/>
                <w:szCs w:val="26"/>
              </w:rPr>
              <w:t>3</w:t>
            </w: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C67F6" w:rsidRDefault="00743CE4" w:rsidP="000211A3">
            <w:pPr>
              <w:ind w:left="708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C6E89" w:rsidRPr="00506D8F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C73EE0" w:rsidRPr="00506D8F">
        <w:rPr>
          <w:rFonts w:ascii="Times New Roman" w:hAnsi="Times New Roman" w:cs="Times New Roman"/>
          <w:b/>
          <w:bCs/>
          <w:sz w:val="26"/>
          <w:szCs w:val="26"/>
        </w:rPr>
        <w:t>еждународные отношения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Автор(ы)</w:t>
      </w:r>
      <w:r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E0" w:rsidRPr="00F11DBD" w:rsidRDefault="00C73EE0" w:rsidP="00C73EE0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DBD">
        <w:rPr>
          <w:rFonts w:ascii="Times New Roman" w:hAnsi="Times New Roman" w:cs="Times New Roman"/>
          <w:sz w:val="28"/>
          <w:szCs w:val="28"/>
        </w:rPr>
        <w:t>Новиков Дмитрий Павлович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FD2796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FD2796" w:rsidRDefault="00FA1C0C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27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FA1C0C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ab/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A33D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решаются задачи определения предмета и основной проблематики изучаемой дисциплины, рассматриваются содержание и основные понятия современных теорий международных отношений, особенности отдельных традиций и связанных с ними школ теории международных отношений. Слушателям дается возможность оценить основные этапы развития изучаемого предмета, превалирующие на каждом из исторических этапов теоретические подходы и концепции 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</w:t>
      </w:r>
      <w:r w:rsidR="004169AB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4169AB" w:rsidRPr="00F040BF">
        <w:rPr>
          <w:rFonts w:ascii="Times New Roman" w:hAnsi="Times New Roman" w:cs="Times New Roman"/>
          <w:sz w:val="24"/>
          <w:szCs w:val="24"/>
        </w:rPr>
        <w:t>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</w:t>
      </w:r>
      <w:r w:rsidR="004169AB">
        <w:rPr>
          <w:rFonts w:ascii="Times New Roman" w:hAnsi="Times New Roman" w:cs="Times New Roman"/>
          <w:sz w:val="24"/>
          <w:szCs w:val="24"/>
        </w:rPr>
        <w:t xml:space="preserve">азвития международных процессов, что будет </w:t>
      </w:r>
      <w:proofErr w:type="spellStart"/>
      <w:r w:rsidR="004169AB">
        <w:rPr>
          <w:rFonts w:ascii="Times New Roman" w:hAnsi="Times New Roman" w:cs="Times New Roman"/>
          <w:sz w:val="24"/>
          <w:szCs w:val="24"/>
        </w:rPr>
        <w:t>востребованно</w:t>
      </w:r>
      <w:proofErr w:type="spellEnd"/>
      <w:r w:rsidR="004169AB">
        <w:rPr>
          <w:rFonts w:ascii="Times New Roman" w:hAnsi="Times New Roman" w:cs="Times New Roman"/>
          <w:sz w:val="24"/>
          <w:szCs w:val="24"/>
        </w:rPr>
        <w:t xml:space="preserve"> при дальнейшей специализации в рамках данной профессиональной ориентации. </w:t>
      </w:r>
    </w:p>
    <w:p w:rsidR="004169AB" w:rsidRPr="00F040BF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Цель курса: дать систематизированн</w:t>
      </w:r>
      <w:r w:rsidR="008A33DE">
        <w:rPr>
          <w:rFonts w:ascii="Times New Roman" w:hAnsi="Times New Roman" w:cs="Times New Roman"/>
          <w:sz w:val="24"/>
          <w:szCs w:val="24"/>
        </w:rPr>
        <w:t xml:space="preserve">ое и целостное представление о международных отношениях как важной сфере социальной жизни и </w:t>
      </w:r>
      <w:r w:rsidRPr="00F040BF">
        <w:rPr>
          <w:rFonts w:ascii="Times New Roman" w:hAnsi="Times New Roman" w:cs="Times New Roman"/>
          <w:sz w:val="24"/>
          <w:szCs w:val="24"/>
        </w:rPr>
        <w:t>основных подходах к изучению международных отношений как дисциплины, их исторической эволюции и влиянии, 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>
        <w:rPr>
          <w:rFonts w:ascii="Times New Roman" w:hAnsi="Times New Roman" w:cs="Times New Roman"/>
          <w:sz w:val="24"/>
          <w:szCs w:val="24"/>
        </w:rPr>
        <w:t xml:space="preserve"> </w:t>
      </w:r>
      <w:r w:rsidRPr="00F040BF">
        <w:rPr>
          <w:rFonts w:ascii="Times New Roman" w:hAnsi="Times New Roman" w:cs="Times New Roman"/>
          <w:sz w:val="24"/>
          <w:szCs w:val="24"/>
        </w:rPr>
        <w:t xml:space="preserve">В соответствии с указанными </w:t>
      </w: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F040BF">
        <w:rPr>
          <w:rFonts w:ascii="Times New Roman" w:hAnsi="Times New Roman" w:cs="Times New Roman"/>
          <w:sz w:val="24"/>
          <w:szCs w:val="24"/>
        </w:rPr>
        <w:t xml:space="preserve">курса в его основу положено сочетание систематического изучения различных традиций, школ и направлений теории международных отношений с одной стороны, и целостного подхода, основанного на тезисе о ключевой роли силы, как универсального регулятора международных отношений. Центральные вопросы и проблемы международных отношений – суверенитет, </w:t>
      </w:r>
      <w:proofErr w:type="spellStart"/>
      <w:r w:rsidRPr="00F040BF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F040BF">
        <w:rPr>
          <w:rFonts w:ascii="Times New Roman" w:hAnsi="Times New Roman" w:cs="Times New Roman"/>
          <w:sz w:val="24"/>
          <w:szCs w:val="24"/>
        </w:rPr>
        <w:t>, безопасность, право, институты – затрагиваются в той или иной мере в каждой теме. Вместе с тем, наиболее актуальные для современной теоретической и прикладной науки проблемы рассматриваются особо, что позволяет уже в иной перспективе, сравнить взгляды различных теоретических школ.</w:t>
      </w:r>
    </w:p>
    <w:p w:rsidR="00FA1C0C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4169AB" w:rsidRDefault="00CD0175" w:rsidP="00416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75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CD01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A1C0C" w:rsidRPr="00CD0175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</w:t>
      </w:r>
      <w:r w:rsidRPr="00F11DBD">
        <w:rPr>
          <w:rFonts w:ascii="Times New Roman" w:hAnsi="Times New Roman" w:cs="Times New Roman"/>
          <w:sz w:val="24"/>
          <w:szCs w:val="24"/>
        </w:rPr>
        <w:lastRenderedPageBreak/>
        <w:t>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175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</w:t>
      </w:r>
      <w:r w:rsidR="00E35140" w:rsidRPr="00F11DBD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CD0175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CD0175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AB" w:rsidRPr="00CD0175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96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796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D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</w:t>
      </w:r>
      <w:proofErr w:type="gramEnd"/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освоение каждой темы</w:t>
      </w:r>
      <w:r w:rsidR="00D51A49" w:rsidRPr="00CD017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24"/>
        <w:gridCol w:w="3767"/>
        <w:gridCol w:w="2184"/>
        <w:gridCol w:w="2770"/>
      </w:tblGrid>
      <w:tr w:rsidR="007D5E34" w:rsidRPr="00CD0175" w:rsidTr="007D5E34">
        <w:tc>
          <w:tcPr>
            <w:tcW w:w="675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CD0175" w:rsidTr="007D5E34">
        <w:tc>
          <w:tcPr>
            <w:tcW w:w="675" w:type="dxa"/>
          </w:tcPr>
          <w:p w:rsidR="007D5E34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D5E34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нужна наука о международных </w:t>
            </w:r>
            <w:r w:rsidRPr="00CD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отношениях? Роль и место ТМО в современных социальных науках</w:t>
            </w:r>
          </w:p>
        </w:tc>
        <w:tc>
          <w:tcPr>
            <w:tcW w:w="2393" w:type="dxa"/>
          </w:tcPr>
          <w:p w:rsidR="007D5E34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Пелопонесская война: становление концепции баланса сил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rPr>
          <w:trHeight w:val="276"/>
        </w:trPr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169AB" w:rsidRPr="00CD0175" w:rsidRDefault="004169AB" w:rsidP="00CD0175">
            <w:pPr>
              <w:pStyle w:val="a"/>
              <w:numPr>
                <w:ilvl w:val="0"/>
                <w:numId w:val="0"/>
              </w:numPr>
              <w:ind w:left="708" w:hanging="708"/>
              <w:jc w:val="both"/>
            </w:pPr>
            <w:r w:rsidRPr="00CD0175">
              <w:t xml:space="preserve">От </w:t>
            </w:r>
            <w:r w:rsidRPr="00CD0175">
              <w:rPr>
                <w:lang w:val="en-US"/>
              </w:rPr>
              <w:t>Pax</w:t>
            </w:r>
            <w:r w:rsidRPr="00CD0175">
              <w:t xml:space="preserve"> </w:t>
            </w:r>
            <w:r w:rsidRPr="00CD0175">
              <w:rPr>
                <w:lang w:val="en-US"/>
              </w:rPr>
              <w:t>Romana</w:t>
            </w:r>
            <w:r w:rsidRPr="00CD0175">
              <w:t xml:space="preserve"> к христианскому миру: истоки универсализма в международных отношениях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Особенности международных отношений в Средние века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Вестфальский мир: от Средневековья к современным международным отношениям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международных отношений в Новое  время: от </w:t>
            </w:r>
            <w:proofErr w:type="spellStart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Вестфаля</w:t>
            </w:r>
            <w:proofErr w:type="spellEnd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к Вене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rPr>
          <w:trHeight w:val="276"/>
        </w:trPr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в Новое время: формирование и распад Венской системы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Становление и крах Лиги Наций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Формирование биполярной международной системы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после «холодной войны»: противоречия и тенденции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4169AB">
        <w:trPr>
          <w:trHeight w:val="276"/>
        </w:trPr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Триада теорий международных отношений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Фукидид –  начало классической традиции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169AB" w:rsidRPr="00743CE4" w:rsidRDefault="00CD0175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философия Джона 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Локка и Томаса Гоббса и ее влияние на развитие классических парадигм международной науки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 проблемы либеральной парадигмы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rPr>
          <w:trHeight w:val="276"/>
        </w:trPr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и проблемы </w:t>
            </w:r>
            <w:proofErr w:type="spellStart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реалистской</w:t>
            </w:r>
            <w:proofErr w:type="spellEnd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парадигмы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Проблема международных отношений в марксизме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Современные дебаты в науке о международных отношениях. Конструктивизм и другие альтернативные подходы к изучению МО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Глобализация и регионализация — два ключевые тенденции в конце XX и начале XXI века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rPr>
          <w:trHeight w:val="276"/>
        </w:trPr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Основные вызовы безопасности и угрозы в XXI веке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Глобальное неравенство, как угроза устойчивому развитию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 и их роль в современном мире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современных международных отношениях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4169AB">
        <w:trPr>
          <w:trHeight w:val="276"/>
        </w:trPr>
        <w:tc>
          <w:tcPr>
            <w:tcW w:w="675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Российская наука о международных отношениях на современном этапе</w:t>
            </w:r>
          </w:p>
        </w:tc>
        <w:tc>
          <w:tcPr>
            <w:tcW w:w="2393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52618A" w:rsidRPr="00CD0175" w:rsidTr="004169AB">
        <w:trPr>
          <w:trHeight w:val="276"/>
        </w:trPr>
        <w:tc>
          <w:tcPr>
            <w:tcW w:w="675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618A" w:rsidRPr="0052618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52618A" w:rsidRPr="0052618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393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52BBF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06D8F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73EE0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EE0" w:rsidRPr="00C73EE0" w:rsidRDefault="00C73EE0" w:rsidP="00C73EE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73EE0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и др./Под ред. </w:t>
      </w:r>
      <w:proofErr w:type="spellStart"/>
      <w:r w:rsidRPr="00C73EE0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C73EE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EE0">
        <w:rPr>
          <w:rFonts w:ascii="Times New Roman" w:hAnsi="Times New Roman" w:cs="Times New Roman"/>
          <w:sz w:val="24"/>
          <w:szCs w:val="24"/>
        </w:rPr>
        <w:t>Всеобщая история. Новейшая история</w:t>
      </w:r>
      <w:r>
        <w:rPr>
          <w:rFonts w:ascii="Times New Roman" w:hAnsi="Times New Roman" w:cs="Times New Roman"/>
          <w:sz w:val="24"/>
          <w:szCs w:val="24"/>
        </w:rPr>
        <w:t xml:space="preserve">. М.: </w:t>
      </w:r>
      <w:r w:rsidRPr="00C73EE0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sectPr w:rsidR="00C73EE0" w:rsidRPr="00C7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352BBF"/>
    <w:rsid w:val="003A02E2"/>
    <w:rsid w:val="004169AB"/>
    <w:rsid w:val="00506D8F"/>
    <w:rsid w:val="0052618A"/>
    <w:rsid w:val="00574244"/>
    <w:rsid w:val="006661BB"/>
    <w:rsid w:val="00743CE4"/>
    <w:rsid w:val="007D5E34"/>
    <w:rsid w:val="008A33DE"/>
    <w:rsid w:val="008F407B"/>
    <w:rsid w:val="00925649"/>
    <w:rsid w:val="00C141B4"/>
    <w:rsid w:val="00C73EE0"/>
    <w:rsid w:val="00CD0175"/>
    <w:rsid w:val="00D51A49"/>
    <w:rsid w:val="00D72E27"/>
    <w:rsid w:val="00E35140"/>
    <w:rsid w:val="00EC6E89"/>
    <w:rsid w:val="00F11DBD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1C6E1-BDD5-4C62-B1C4-1CA4CDD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A88B-2A14-4C89-9D92-FFECDCE4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2019-01-25T06:59:00Z</dcterms:created>
  <dcterms:modified xsi:type="dcterms:W3CDTF">2019-02-01T12:03:00Z</dcterms:modified>
</cp:coreProperties>
</file>