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F5" w:rsidRDefault="008F26F5" w:rsidP="008F26F5">
      <w:pPr>
        <w:autoSpaceDE w:val="0"/>
        <w:autoSpaceDN w:val="0"/>
        <w:adjustRightInd w:val="0"/>
        <w:spacing w:before="35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Toc442912258"/>
      <w:bookmarkStart w:id="1" w:name="_Toc443243630"/>
      <w:bookmarkStart w:id="2" w:name="_Toc443595989"/>
      <w:bookmarkStart w:id="3" w:name="_GoBack"/>
      <w:bookmarkEnd w:id="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8F26F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Целесообразность использования солнечных батарей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8F26F5" w:rsidRPr="008F26F5" w:rsidRDefault="008F26F5" w:rsidP="008F26F5">
      <w:pPr>
        <w:autoSpaceDE w:val="0"/>
        <w:autoSpaceDN w:val="0"/>
        <w:adjustRightInd w:val="0"/>
        <w:spacing w:before="35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Полина Покровская</w:t>
      </w:r>
    </w:p>
    <w:p w:rsidR="00EF606C" w:rsidRDefault="008F26F5" w:rsidP="008F26F5">
      <w:pPr>
        <w:pStyle w:val="1"/>
        <w:ind w:firstLine="0"/>
        <w:jc w:val="center"/>
        <w:rPr>
          <w:color w:val="000000"/>
        </w:rPr>
      </w:pPr>
      <w:proofErr w:type="spellStart"/>
      <w:r>
        <w:rPr>
          <w:color w:val="000000"/>
        </w:rPr>
        <w:t>Устройство</w:t>
      </w:r>
      <w:proofErr w:type="spellEnd"/>
      <w:r>
        <w:rPr>
          <w:color w:val="000000"/>
        </w:rPr>
        <w:t xml:space="preserve"> солнечных батарей</w:t>
      </w:r>
      <w:bookmarkEnd w:id="0"/>
      <w:bookmarkEnd w:id="1"/>
      <w:bookmarkEnd w:id="2"/>
    </w:p>
    <w:p w:rsidR="00EF606C" w:rsidRDefault="008F26F5">
      <w:pPr>
        <w:pStyle w:val="2"/>
        <w:numPr>
          <w:ilvl w:val="1"/>
          <w:numId w:val="37"/>
        </w:numPr>
        <w:rPr>
          <w:color w:val="000000"/>
        </w:rPr>
      </w:pPr>
      <w:bookmarkStart w:id="4" w:name="_Toc442912259"/>
      <w:bookmarkStart w:id="5" w:name="_Toc443243631"/>
      <w:bookmarkStart w:id="6" w:name="_Toc443595990"/>
      <w:r>
        <w:rPr>
          <w:color w:val="000000"/>
        </w:rPr>
        <w:t>Определение солнечных батарей</w:t>
      </w:r>
      <w:bookmarkEnd w:id="4"/>
      <w:bookmarkEnd w:id="5"/>
      <w:bookmarkEnd w:id="6"/>
    </w:p>
    <w:p w:rsidR="00EF606C" w:rsidRDefault="008F26F5">
      <w:pPr>
        <w:pStyle w:val="Textbody"/>
        <w:rPr>
          <w:szCs w:val="28"/>
          <w:lang w:val="ru-RU"/>
        </w:rPr>
      </w:pPr>
      <w:r>
        <w:rPr>
          <w:szCs w:val="28"/>
          <w:lang w:val="ru-RU"/>
        </w:rPr>
        <w:t xml:space="preserve">   «Солнечные преобразователи (солнечные элементы) — фотодиоды, оптимизированные для прямого преобразования излучения солнца в электрическую энергию.» (</w:t>
      </w:r>
      <w:r>
        <w:rPr>
          <w:i/>
          <w:szCs w:val="28"/>
          <w:lang w:val="ru-RU"/>
        </w:rPr>
        <w:t>Самохвалов М.К.</w:t>
      </w:r>
      <w:r>
        <w:rPr>
          <w:i/>
          <w:szCs w:val="28"/>
          <w:lang w:val="ru-RU"/>
        </w:rPr>
        <w:t xml:space="preserve"> 2003 Элементы и устройства оптоэлектроники: учебное пособие,  2003</w:t>
      </w:r>
      <w:r>
        <w:rPr>
          <w:szCs w:val="28"/>
          <w:lang w:val="ru-RU"/>
        </w:rPr>
        <w:t>)</w:t>
      </w:r>
    </w:p>
    <w:p w:rsidR="00EF606C" w:rsidRDefault="008F26F5">
      <w:pPr>
        <w:pStyle w:val="Textbody"/>
        <w:rPr>
          <w:szCs w:val="28"/>
          <w:lang w:val="ru-RU"/>
        </w:rPr>
      </w:pPr>
      <w:r>
        <w:rPr>
          <w:szCs w:val="28"/>
          <w:lang w:val="ru-RU"/>
        </w:rPr>
        <w:t xml:space="preserve">     Фотодиод- это приёмник оптического излучения, который преобразует свет, попавший в его светочувствительную область, в электрический импульс за счёт процессов в </w:t>
      </w:r>
      <w:r>
        <w:rPr>
          <w:szCs w:val="28"/>
        </w:rPr>
        <w:t>p</w:t>
      </w:r>
      <w:r>
        <w:rPr>
          <w:szCs w:val="28"/>
          <w:lang w:val="ru-RU"/>
        </w:rPr>
        <w:t>-</w:t>
      </w:r>
      <w:r>
        <w:rPr>
          <w:szCs w:val="28"/>
        </w:rPr>
        <w:t>n</w:t>
      </w:r>
      <w:r>
        <w:rPr>
          <w:szCs w:val="28"/>
          <w:lang w:val="ru-RU"/>
        </w:rPr>
        <w:t xml:space="preserve"> переходе.</w:t>
      </w:r>
    </w:p>
    <w:p w:rsidR="00EF606C" w:rsidRDefault="008F26F5">
      <w:pPr>
        <w:pStyle w:val="Textbody"/>
        <w:rPr>
          <w:szCs w:val="28"/>
          <w:lang w:val="ru-RU"/>
        </w:rPr>
      </w:pPr>
      <w:r>
        <w:rPr>
          <w:szCs w:val="28"/>
          <w:lang w:val="ru-RU"/>
        </w:rPr>
        <w:t xml:space="preserve">      Со</w:t>
      </w:r>
      <w:r>
        <w:rPr>
          <w:szCs w:val="28"/>
          <w:lang w:val="ru-RU"/>
        </w:rPr>
        <w:t>лнечная батарея – это панель из фотоэлементов, которые способны преобразовывать солнечную энергию в электрическую.</w:t>
      </w:r>
    </w:p>
    <w:p w:rsidR="00EF606C" w:rsidRDefault="00EF606C">
      <w:pPr>
        <w:pStyle w:val="Textbody"/>
        <w:rPr>
          <w:szCs w:val="28"/>
          <w:lang w:val="ru-RU"/>
        </w:rPr>
      </w:pPr>
    </w:p>
    <w:p w:rsidR="00EF606C" w:rsidRDefault="008F26F5">
      <w:pPr>
        <w:pStyle w:val="2"/>
        <w:numPr>
          <w:ilvl w:val="1"/>
          <w:numId w:val="37"/>
        </w:numPr>
        <w:rPr>
          <w:color w:val="000000"/>
        </w:rPr>
      </w:pPr>
      <w:bookmarkStart w:id="7" w:name="_Toc442912260"/>
      <w:bookmarkStart w:id="8" w:name="_Toc443243632"/>
      <w:bookmarkStart w:id="9" w:name="_Toc443595991"/>
      <w:r>
        <w:rPr>
          <w:color w:val="000000"/>
        </w:rPr>
        <w:t>P- n переход</w:t>
      </w:r>
      <w:bookmarkEnd w:id="7"/>
      <w:bookmarkEnd w:id="8"/>
      <w:bookmarkEnd w:id="9"/>
    </w:p>
    <w:p w:rsidR="00EF606C" w:rsidRDefault="008F26F5">
      <w:pPr>
        <w:pStyle w:val="Textbody"/>
        <w:rPr>
          <w:szCs w:val="28"/>
          <w:lang w:val="ru-RU"/>
        </w:rPr>
      </w:pPr>
      <w:r>
        <w:rPr>
          <w:szCs w:val="28"/>
          <w:lang w:val="ru-RU"/>
        </w:rPr>
        <w:t xml:space="preserve">«Полупроводниковым </w:t>
      </w:r>
      <w:r>
        <w:rPr>
          <w:szCs w:val="28"/>
        </w:rPr>
        <w:t>p</w:t>
      </w:r>
      <w:r>
        <w:rPr>
          <w:szCs w:val="28"/>
          <w:lang w:val="ru-RU"/>
        </w:rPr>
        <w:t xml:space="preserve">- </w:t>
      </w:r>
      <w:r>
        <w:rPr>
          <w:szCs w:val="28"/>
        </w:rPr>
        <w:t>n</w:t>
      </w:r>
      <w:r>
        <w:rPr>
          <w:szCs w:val="28"/>
          <w:lang w:val="ru-RU"/>
        </w:rPr>
        <w:t>- переходом называют тонкий слой, образующийся в месте контакта двух областей полупроводников акцепторно</w:t>
      </w:r>
      <w:r>
        <w:rPr>
          <w:szCs w:val="28"/>
          <w:lang w:val="ru-RU"/>
        </w:rPr>
        <w:t>го и донорного типов.» (</w:t>
      </w:r>
      <w:r>
        <w:rPr>
          <w:i/>
          <w:szCs w:val="28"/>
          <w:lang w:val="ru-RU"/>
        </w:rPr>
        <w:t>Винтайкин Б. Е. Физика твёрдого тела: учебное пособие, 2006</w:t>
      </w:r>
      <w:r>
        <w:rPr>
          <w:szCs w:val="28"/>
          <w:lang w:val="ru-RU"/>
        </w:rPr>
        <w:t>)</w:t>
      </w:r>
    </w:p>
    <w:p w:rsidR="00EF606C" w:rsidRDefault="008F26F5">
      <w:pPr>
        <w:pStyle w:val="Textbody"/>
        <w:rPr>
          <w:lang w:val="ru-RU"/>
        </w:rPr>
      </w:pPr>
      <w:r>
        <w:rPr>
          <w:lang w:val="ru-RU"/>
        </w:rPr>
        <w:t>Сами по себе акцепторный (р – типа) и донорный (</w:t>
      </w:r>
      <w:r>
        <w:t>n</w:t>
      </w:r>
      <w:r>
        <w:rPr>
          <w:lang w:val="ru-RU"/>
        </w:rPr>
        <w:t xml:space="preserve"> – типа) полупроводники являются абсолютно электрически нейтральными. В </w:t>
      </w:r>
      <w:r>
        <w:t>p</w:t>
      </w:r>
      <w:r>
        <w:rPr>
          <w:lang w:val="ru-RU"/>
        </w:rPr>
        <w:t>- области имеются свободно перемещающиеся положит</w:t>
      </w:r>
      <w:r>
        <w:rPr>
          <w:lang w:val="ru-RU"/>
        </w:rPr>
        <w:t xml:space="preserve">ельно заряженные дырки и неподвижные отрицательно заряженные ионы акцепторной примеси, а в </w:t>
      </w:r>
      <w:r>
        <w:t>n</w:t>
      </w:r>
      <w:r>
        <w:rPr>
          <w:lang w:val="ru-RU"/>
        </w:rPr>
        <w:t xml:space="preserve">- области - свободно перемещающиеся отрицательно заряженные электроны и неподвижные положительно заряженные ионы донорной примеси. Количества </w:t>
      </w:r>
      <w:r>
        <w:rPr>
          <w:lang w:val="ru-RU"/>
        </w:rPr>
        <w:lastRenderedPageBreak/>
        <w:t>свободных носителей за</w:t>
      </w:r>
      <w:r>
        <w:rPr>
          <w:lang w:val="ru-RU"/>
        </w:rPr>
        <w:t xml:space="preserve">ряда и ионов примеси равны, поэтому суммарный заряд в легированных полупроводниках (и р- и </w:t>
      </w:r>
      <w:r>
        <w:t>n</w:t>
      </w:r>
      <w:r>
        <w:rPr>
          <w:lang w:val="ru-RU"/>
        </w:rPr>
        <w:t>- типа) равен нулю. При соединении двух полупроводников акцепного и донорного типа, вследствие диффузии основные носители заряда (дырки в полупроводнике р- типа и э</w:t>
      </w:r>
      <w:r>
        <w:rPr>
          <w:lang w:val="ru-RU"/>
        </w:rPr>
        <w:t xml:space="preserve">лектроны в </w:t>
      </w:r>
      <w:r>
        <w:t>n</w:t>
      </w:r>
      <w:r>
        <w:rPr>
          <w:lang w:val="ru-RU"/>
        </w:rPr>
        <w:t>- полупроводнике) проникают в соседние области и там рекомбинируют. На границе раздела донорного и акцепторного полупроводников остаются ионы примесей, заряд которых теперь не скомпенсирован. Таким образом на границе между полупроводниками возн</w:t>
      </w:r>
      <w:r>
        <w:rPr>
          <w:lang w:val="ru-RU"/>
        </w:rPr>
        <w:t xml:space="preserve">икает двойной слой объемного заряда (отрицательный в р- области и положительный в </w:t>
      </w:r>
      <w:r>
        <w:t>n</w:t>
      </w:r>
      <w:r>
        <w:rPr>
          <w:lang w:val="ru-RU"/>
        </w:rPr>
        <w:t>- области) и, следовательно, электрическое поле, которое создает потенциальный барьер для движения основных носителей заряда. Диффузионный поток основных носителей значитель</w:t>
      </w:r>
      <w:r>
        <w:rPr>
          <w:lang w:val="ru-RU"/>
        </w:rPr>
        <w:t xml:space="preserve">но уменьшится, так как преодолеть барьер смогут только те носители, которые имеют достаточное количество энергиии </w:t>
      </w:r>
    </w:p>
    <w:p w:rsidR="00EF606C" w:rsidRDefault="008F26F5">
      <w:pPr>
        <w:pStyle w:val="Textbody"/>
        <w:rPr>
          <w:lang w:val="ru-RU"/>
        </w:rPr>
      </w:pPr>
      <w:r>
        <w:rPr>
          <w:lang w:val="ru-RU"/>
        </w:rPr>
        <w:t xml:space="preserve">В полупроводниках имеются ещё и неосновные носители заряда, которых во много раз меньше, чем основных, это свободные дырки в </w:t>
      </w:r>
      <w:r>
        <w:t>n</w:t>
      </w:r>
      <w:r>
        <w:rPr>
          <w:lang w:val="ru-RU"/>
        </w:rPr>
        <w:t>- области и сво</w:t>
      </w:r>
      <w:r>
        <w:rPr>
          <w:lang w:val="ru-RU"/>
        </w:rPr>
        <w:t xml:space="preserve">бодные электроны в </w:t>
      </w:r>
      <w:r>
        <w:t>p</w:t>
      </w:r>
      <w:r>
        <w:rPr>
          <w:lang w:val="ru-RU"/>
        </w:rPr>
        <w:t>- области. Те из них, которые при своем хаотическом движении попадают в область электрического поля, перебрасываются им в другую область.</w:t>
      </w:r>
    </w:p>
    <w:p w:rsidR="00EF606C" w:rsidRDefault="008F26F5">
      <w:pPr>
        <w:pStyle w:val="Textbody"/>
        <w:rPr>
          <w:lang w:val="ru-RU"/>
        </w:rPr>
      </w:pPr>
      <w:r>
        <w:rPr>
          <w:lang w:val="ru-RU"/>
        </w:rPr>
        <w:t xml:space="preserve"> Если р-</w:t>
      </w:r>
      <w:r>
        <w:t>n</w:t>
      </w:r>
      <w:r>
        <w:rPr>
          <w:lang w:val="ru-RU"/>
        </w:rPr>
        <w:t xml:space="preserve"> переход находится в равновесном состоянии, то есть к нему не прикладывается напряжение, </w:t>
      </w:r>
      <w:r>
        <w:rPr>
          <w:lang w:val="ru-RU"/>
        </w:rPr>
        <w:t xml:space="preserve">нет осещения или каких-либо еще внешних воздействий, токи основных и неосновных носителей равны и направлены в противоположные стороны, то есть общий ток равен нулю. </w:t>
      </w:r>
    </w:p>
    <w:p w:rsidR="00EF606C" w:rsidRDefault="008F26F5">
      <w:pPr>
        <w:pStyle w:val="2"/>
        <w:numPr>
          <w:ilvl w:val="1"/>
          <w:numId w:val="37"/>
        </w:numPr>
        <w:rPr>
          <w:color w:val="000000"/>
          <w:lang w:val="ru-RU"/>
        </w:rPr>
      </w:pPr>
      <w:bookmarkStart w:id="10" w:name="_Toc442912261"/>
      <w:bookmarkStart w:id="11" w:name="_Toc443243633"/>
      <w:bookmarkStart w:id="12" w:name="_Toc443595992"/>
      <w:r>
        <w:rPr>
          <w:color w:val="000000"/>
          <w:lang w:val="ru-RU"/>
        </w:rPr>
        <w:t>Преобразование солнечной энергии в электрическую</w:t>
      </w:r>
      <w:bookmarkEnd w:id="10"/>
      <w:bookmarkEnd w:id="11"/>
      <w:bookmarkEnd w:id="12"/>
    </w:p>
    <w:p w:rsidR="00EF606C" w:rsidRDefault="008F26F5">
      <w:pPr>
        <w:pStyle w:val="Textbody"/>
        <w:rPr>
          <w:rFonts w:ascii="Arial" w:eastAsia="Microsoft YaHei" w:hAnsi="Arial" w:cs="Arial"/>
          <w:szCs w:val="28"/>
          <w:lang w:val="ru-RU"/>
        </w:rPr>
      </w:pPr>
      <w:r>
        <w:rPr>
          <w:szCs w:val="28"/>
          <w:lang w:val="ru-RU"/>
        </w:rPr>
        <w:t>Солнечное излучение представляет из себя</w:t>
      </w:r>
      <w:r>
        <w:rPr>
          <w:szCs w:val="28"/>
          <w:lang w:val="ru-RU"/>
        </w:rPr>
        <w:t xml:space="preserve"> электромагнитные волны оптического диапазона ( 380- 780нм). Энергия световых волн испускается и поглощается порциями (квантуется). Энергия такой порции называется </w:t>
      </w:r>
      <w:r>
        <w:rPr>
          <w:szCs w:val="28"/>
          <w:lang w:val="ru-RU"/>
        </w:rPr>
        <w:lastRenderedPageBreak/>
        <w:t xml:space="preserve">фотоном и равна </w:t>
      </w:r>
      <w:r>
        <w:rPr>
          <w:szCs w:val="28"/>
        </w:rPr>
        <w:t>E</w:t>
      </w:r>
      <w:r>
        <w:rPr>
          <w:szCs w:val="28"/>
          <w:vertAlign w:val="subscript"/>
          <w:lang w:val="ru-RU"/>
        </w:rPr>
        <w:t>ф</w:t>
      </w:r>
      <w:r>
        <w:rPr>
          <w:szCs w:val="28"/>
          <w:lang w:val="ru-RU"/>
        </w:rPr>
        <w:t xml:space="preserve">= </w:t>
      </w:r>
      <w:r>
        <w:rPr>
          <w:szCs w:val="28"/>
        </w:rPr>
        <w:t>h</w:t>
      </w:r>
      <w:r>
        <w:rPr>
          <w:rFonts w:ascii="Arial" w:eastAsia="Microsoft YaHei" w:hAnsi="Arial"/>
          <w:szCs w:val="28"/>
          <w:lang w:val="ru-RU"/>
        </w:rPr>
        <w:t>Ʋ</w:t>
      </w:r>
      <w:r>
        <w:rPr>
          <w:rFonts w:ascii="Arial" w:eastAsia="Microsoft YaHei" w:hAnsi="Arial"/>
          <w:szCs w:val="28"/>
          <w:lang w:val="ru-RU"/>
        </w:rPr>
        <w:t xml:space="preserve"> = </w:t>
      </w:r>
      <w:r>
        <w:rPr>
          <w:rFonts w:ascii="Arial" w:eastAsia="Microsoft YaHei" w:hAnsi="Arial"/>
          <w:szCs w:val="28"/>
        </w:rPr>
        <w:t>hc</w:t>
      </w:r>
      <w:r>
        <w:rPr>
          <w:rFonts w:ascii="Arial" w:eastAsia="Microsoft YaHei" w:hAnsi="Arial"/>
          <w:szCs w:val="28"/>
          <w:lang w:val="ru-RU"/>
        </w:rPr>
        <w:t>/</w:t>
      </w:r>
      <w:r>
        <w:rPr>
          <w:rFonts w:ascii="Arial" w:eastAsia="Microsoft YaHei" w:hAnsi="Arial" w:cs="Arial"/>
          <w:szCs w:val="28"/>
          <w:lang w:val="ru-RU"/>
        </w:rPr>
        <w:t>λ</w:t>
      </w:r>
      <w:r>
        <w:rPr>
          <w:rFonts w:ascii="Arial" w:eastAsia="Microsoft YaHei" w:hAnsi="Arial"/>
          <w:szCs w:val="28"/>
          <w:lang w:val="ru-RU"/>
        </w:rPr>
        <w:t xml:space="preserve">, </w:t>
      </w:r>
      <w:r>
        <w:rPr>
          <w:rFonts w:eastAsia="Microsoft YaHei" w:cs="Times New Roman"/>
          <w:szCs w:val="28"/>
          <w:lang w:val="ru-RU"/>
        </w:rPr>
        <w:t>где</w:t>
      </w:r>
      <w:r>
        <w:rPr>
          <w:rFonts w:ascii="Arial" w:eastAsia="Microsoft YaHei" w:hAnsi="Arial"/>
          <w:szCs w:val="28"/>
          <w:lang w:val="ru-RU"/>
        </w:rPr>
        <w:t xml:space="preserve"> </w:t>
      </w:r>
      <w:r>
        <w:rPr>
          <w:rFonts w:ascii="Arial" w:eastAsia="Microsoft YaHei" w:hAnsi="Arial"/>
          <w:szCs w:val="28"/>
        </w:rPr>
        <w:t>h</w:t>
      </w:r>
      <w:r>
        <w:rPr>
          <w:rFonts w:ascii="Arial" w:eastAsia="Microsoft YaHei" w:hAnsi="Arial"/>
          <w:szCs w:val="28"/>
          <w:lang w:val="ru-RU"/>
        </w:rPr>
        <w:t xml:space="preserve"> – </w:t>
      </w:r>
      <w:r>
        <w:rPr>
          <w:rFonts w:eastAsia="Microsoft YaHei" w:cs="Times New Roman"/>
          <w:szCs w:val="28"/>
          <w:lang w:val="ru-RU"/>
        </w:rPr>
        <w:t>постоянная Планка</w:t>
      </w:r>
      <w:r>
        <w:rPr>
          <w:rFonts w:ascii="Arial" w:eastAsia="Microsoft YaHei" w:hAnsi="Arial"/>
          <w:szCs w:val="28"/>
          <w:lang w:val="ru-RU"/>
        </w:rPr>
        <w:t xml:space="preserve">, Ʋ- </w:t>
      </w:r>
      <w:r>
        <w:rPr>
          <w:rFonts w:eastAsia="Microsoft YaHei" w:cs="Times New Roman"/>
          <w:szCs w:val="28"/>
          <w:lang w:val="ru-RU"/>
        </w:rPr>
        <w:t>частота</w:t>
      </w:r>
      <w:r>
        <w:rPr>
          <w:rFonts w:ascii="Arial" w:eastAsia="Microsoft YaHei" w:hAnsi="Arial"/>
          <w:szCs w:val="28"/>
          <w:lang w:val="ru-RU"/>
        </w:rPr>
        <w:t xml:space="preserve"> , </w:t>
      </w:r>
      <w:r>
        <w:rPr>
          <w:rFonts w:ascii="Arial" w:eastAsia="Microsoft YaHei" w:hAnsi="Arial" w:cs="Arial"/>
          <w:szCs w:val="28"/>
          <w:lang w:val="ru-RU"/>
        </w:rPr>
        <w:t xml:space="preserve">λ- </w:t>
      </w:r>
      <w:r>
        <w:rPr>
          <w:rFonts w:eastAsia="Microsoft YaHei" w:cs="Times New Roman"/>
          <w:szCs w:val="28"/>
          <w:lang w:val="ru-RU"/>
        </w:rPr>
        <w:t xml:space="preserve">длина волны, с – </w:t>
      </w:r>
      <w:r>
        <w:rPr>
          <w:rFonts w:eastAsia="Microsoft YaHei" w:cs="Times New Roman"/>
          <w:szCs w:val="28"/>
          <w:lang w:val="ru-RU"/>
        </w:rPr>
        <w:t>скорость света</w:t>
      </w:r>
      <w:r>
        <w:rPr>
          <w:rFonts w:ascii="Arial" w:eastAsia="Microsoft YaHei" w:hAnsi="Arial" w:cs="Arial"/>
          <w:szCs w:val="28"/>
          <w:lang w:val="ru-RU"/>
        </w:rPr>
        <w:t>.</w:t>
      </w:r>
    </w:p>
    <w:p w:rsidR="00EF606C" w:rsidRDefault="008F26F5">
      <w:pPr>
        <w:pStyle w:val="Textbody"/>
        <w:rPr>
          <w:lang w:val="ru-RU"/>
        </w:rPr>
      </w:pPr>
      <w:r>
        <w:rPr>
          <w:lang w:val="ru-RU"/>
        </w:rPr>
        <w:t>Если на полупроводниковый р–</w:t>
      </w:r>
      <w:r>
        <w:t>n</w:t>
      </w:r>
      <w:r>
        <w:rPr>
          <w:lang w:val="ru-RU"/>
        </w:rPr>
        <w:t xml:space="preserve"> переход падают световые волны, энергия квантов которых достаточна, чтобы разорвать ковалентные связи электронов в полупроводниках, возникают дополнительные электрон-дырочные пары (неравновесные неосновные носит</w:t>
      </w:r>
      <w:r>
        <w:rPr>
          <w:lang w:val="ru-RU"/>
        </w:rPr>
        <w:t>ели), которые и создают ток (фототок).</w:t>
      </w:r>
    </w:p>
    <w:p w:rsidR="00EF606C" w:rsidRDefault="008F26F5">
      <w:pPr>
        <w:pStyle w:val="2"/>
        <w:numPr>
          <w:ilvl w:val="1"/>
          <w:numId w:val="37"/>
        </w:numPr>
        <w:rPr>
          <w:color w:val="000000"/>
        </w:rPr>
      </w:pPr>
      <w:bookmarkStart w:id="13" w:name="_Toc442912262"/>
      <w:bookmarkStart w:id="14" w:name="_Toc443243634"/>
      <w:bookmarkStart w:id="15" w:name="_Toc443595993"/>
      <w:r>
        <w:rPr>
          <w:color w:val="000000"/>
        </w:rPr>
        <w:t>Конструкция солнечной батареи</w:t>
      </w:r>
      <w:bookmarkEnd w:id="13"/>
      <w:bookmarkEnd w:id="14"/>
      <w:bookmarkEnd w:id="15"/>
    </w:p>
    <w:p w:rsidR="00EF606C" w:rsidRDefault="008F26F5">
      <w:pPr>
        <w:pStyle w:val="Textbody"/>
        <w:rPr>
          <w:rFonts w:eastAsia="Microsoft YaHei"/>
          <w:szCs w:val="28"/>
          <w:lang w:val="ru-RU"/>
        </w:rPr>
      </w:pPr>
      <w:r>
        <w:rPr>
          <w:rFonts w:eastAsia="Microsoft YaHei"/>
          <w:szCs w:val="28"/>
          <w:lang w:val="ru-RU"/>
        </w:rPr>
        <w:t xml:space="preserve">   Солнечная батарея состоит из фотоэлементов которые могут быть соединены последовательно параллельно или смешанно. При параллельном соединении можно увеличить выходной ток, а при послед</w:t>
      </w:r>
      <w:r>
        <w:rPr>
          <w:rFonts w:eastAsia="Microsoft YaHei"/>
          <w:szCs w:val="28"/>
          <w:lang w:val="ru-RU"/>
        </w:rPr>
        <w:t>овательном- напряжение. Но при последовательном соединении в результате частичного или полного затемнения фотоэлементов могут возникать обратные токи, поэтому обычно не используют последовательное соединение фотоэлементов. Сами фотоэлементы состоят из крем</w:t>
      </w:r>
      <w:r>
        <w:rPr>
          <w:rFonts w:eastAsia="Microsoft YaHei"/>
          <w:szCs w:val="28"/>
          <w:lang w:val="ru-RU"/>
        </w:rPr>
        <w:t>ния с примесями донорного и акцептного типа. Получившаяся система фотоэлементов помещена в металлический каркас. Верхняя часть панели прозрачная и защищена специальным высокопрочным стеклом, который пропускает полный спектр солнечного излучения. К внутренн</w:t>
      </w:r>
      <w:r>
        <w:rPr>
          <w:rFonts w:eastAsia="Microsoft YaHei"/>
          <w:szCs w:val="28"/>
          <w:lang w:val="ru-RU"/>
        </w:rPr>
        <w:t>ей стороне корпуса прикреплён диодный блок, под крышкой которого размещены электрические контакты, предназначенные для подключения модуля.</w:t>
      </w:r>
    </w:p>
    <w:p w:rsidR="00EF606C" w:rsidRDefault="008F26F5">
      <w:pPr>
        <w:pStyle w:val="Textbody"/>
        <w:rPr>
          <w:rFonts w:eastAsia="Microsoft YaHei"/>
          <w:szCs w:val="28"/>
          <w:lang w:val="ru-RU"/>
        </w:rPr>
      </w:pPr>
      <w:r>
        <w:rPr>
          <w:rFonts w:eastAsia="Microsoft YaHei"/>
          <w:szCs w:val="28"/>
          <w:lang w:val="ru-RU"/>
        </w:rPr>
        <w:t xml:space="preserve">     Получаемая электрическая энергия накапливается в аккумуляторах, далее, если использовать постоянный электрически</w:t>
      </w:r>
      <w:r>
        <w:rPr>
          <w:rFonts w:eastAsia="Microsoft YaHei"/>
          <w:szCs w:val="28"/>
          <w:lang w:val="ru-RU"/>
        </w:rPr>
        <w:t xml:space="preserve">й ток, то эта электрическая энергия идёт в нагрузку, а если использовать переменный ток, то она поступает в инвертор (преобразователь тока) и только потом в нагрузку, тогда в результате получается источник альтернативного питания с сетевым напряжением 220 </w:t>
      </w:r>
      <w:r>
        <w:rPr>
          <w:rFonts w:eastAsia="Microsoft YaHei"/>
          <w:szCs w:val="28"/>
          <w:lang w:val="ru-RU"/>
        </w:rPr>
        <w:t>В.</w:t>
      </w:r>
    </w:p>
    <w:p w:rsidR="00EF606C" w:rsidRDefault="008F26F5">
      <w:pPr>
        <w:pStyle w:val="2"/>
        <w:numPr>
          <w:ilvl w:val="1"/>
          <w:numId w:val="41"/>
        </w:numPr>
        <w:rPr>
          <w:color w:val="000000"/>
        </w:rPr>
      </w:pPr>
      <w:bookmarkStart w:id="16" w:name="_Toc442912263"/>
      <w:bookmarkStart w:id="17" w:name="_Toc443243635"/>
      <w:bookmarkStart w:id="18" w:name="_Toc443595994"/>
      <w:r>
        <w:rPr>
          <w:color w:val="000000"/>
        </w:rPr>
        <w:lastRenderedPageBreak/>
        <w:t>Условия работы солнечной батареи :</w:t>
      </w:r>
      <w:bookmarkEnd w:id="16"/>
      <w:bookmarkEnd w:id="17"/>
      <w:bookmarkEnd w:id="18"/>
    </w:p>
    <w:p w:rsidR="00EF606C" w:rsidRDefault="008F26F5">
      <w:pPr>
        <w:pStyle w:val="Textbody"/>
        <w:numPr>
          <w:ilvl w:val="0"/>
          <w:numId w:val="26"/>
        </w:numPr>
        <w:rPr>
          <w:rFonts w:eastAsia="Microsoft YaHei"/>
          <w:szCs w:val="28"/>
        </w:rPr>
      </w:pPr>
      <w:r>
        <w:rPr>
          <w:rFonts w:eastAsia="Microsoft YaHei"/>
          <w:szCs w:val="28"/>
        </w:rPr>
        <w:t>При атмосферном давлении 84-106,7 кПа;</w:t>
      </w:r>
    </w:p>
    <w:p w:rsidR="00EF606C" w:rsidRDefault="008F26F5">
      <w:pPr>
        <w:pStyle w:val="Textbody"/>
        <w:numPr>
          <w:ilvl w:val="0"/>
          <w:numId w:val="26"/>
        </w:numPr>
        <w:rPr>
          <w:rFonts w:eastAsia="Microsoft YaHei"/>
          <w:szCs w:val="28"/>
        </w:rPr>
      </w:pPr>
      <w:r>
        <w:rPr>
          <w:rFonts w:eastAsia="Microsoft YaHei"/>
          <w:szCs w:val="28"/>
        </w:rPr>
        <w:t>При относительной влажности до 100%;</w:t>
      </w:r>
    </w:p>
    <w:p w:rsidR="00EF606C" w:rsidRDefault="008F26F5">
      <w:pPr>
        <w:pStyle w:val="Textbody"/>
        <w:numPr>
          <w:ilvl w:val="0"/>
          <w:numId w:val="26"/>
        </w:numPr>
        <w:rPr>
          <w:rFonts w:eastAsia="Microsoft YaHei"/>
          <w:szCs w:val="28"/>
          <w:lang w:val="ru-RU"/>
        </w:rPr>
      </w:pPr>
      <w:r>
        <w:rPr>
          <w:rFonts w:eastAsia="Microsoft YaHei"/>
          <w:szCs w:val="28"/>
          <w:lang w:val="ru-RU"/>
        </w:rPr>
        <w:t>При дожде относительной влажности до 5 мм/мин;</w:t>
      </w:r>
    </w:p>
    <w:p w:rsidR="00EF606C" w:rsidRDefault="008F26F5">
      <w:pPr>
        <w:pStyle w:val="Textbody"/>
        <w:numPr>
          <w:ilvl w:val="0"/>
          <w:numId w:val="26"/>
        </w:numPr>
        <w:rPr>
          <w:rFonts w:eastAsia="Microsoft YaHei"/>
          <w:szCs w:val="28"/>
          <w:lang w:val="ru-RU"/>
        </w:rPr>
      </w:pPr>
      <w:r>
        <w:rPr>
          <w:rFonts w:eastAsia="Microsoft YaHei"/>
          <w:szCs w:val="28"/>
          <w:lang w:val="ru-RU"/>
        </w:rPr>
        <w:t>При снеговой или гололедно- ветровой нагрузке до 2000 Па;</w:t>
      </w:r>
    </w:p>
    <w:p w:rsidR="00EF606C" w:rsidRDefault="008F26F5">
      <w:pPr>
        <w:pStyle w:val="Textbody"/>
        <w:numPr>
          <w:ilvl w:val="0"/>
          <w:numId w:val="26"/>
        </w:numPr>
        <w:rPr>
          <w:szCs w:val="28"/>
          <w:lang w:val="ru-RU"/>
        </w:rPr>
      </w:pPr>
      <w:r>
        <w:rPr>
          <w:rFonts w:eastAsia="Microsoft YaHei"/>
          <w:szCs w:val="28"/>
          <w:lang w:val="ru-RU"/>
        </w:rPr>
        <w:t>В диапазоне температур от -50 ̊</w:t>
      </w:r>
      <w:r>
        <w:rPr>
          <w:rFonts w:eastAsia="Microsoft YaHei"/>
          <w:szCs w:val="28"/>
        </w:rPr>
        <w:t>C</w:t>
      </w:r>
      <w:r>
        <w:rPr>
          <w:rFonts w:eastAsia="Microsoft YaHei"/>
          <w:szCs w:val="28"/>
          <w:lang w:val="ru-RU"/>
        </w:rPr>
        <w:t xml:space="preserve"> до +70 ̊С</w:t>
      </w:r>
    </w:p>
    <w:p w:rsidR="00EF606C" w:rsidRDefault="008F26F5">
      <w:pPr>
        <w:pStyle w:val="2"/>
        <w:numPr>
          <w:ilvl w:val="1"/>
          <w:numId w:val="42"/>
        </w:numPr>
        <w:rPr>
          <w:color w:val="000000"/>
          <w:lang w:val="ru-RU"/>
        </w:rPr>
      </w:pPr>
      <w:bookmarkStart w:id="19" w:name="_Toc442912264"/>
      <w:bookmarkStart w:id="20" w:name="_Toc443243636"/>
      <w:bookmarkStart w:id="21" w:name="_Toc443595995"/>
      <w:r>
        <w:rPr>
          <w:color w:val="000000"/>
          <w:lang w:val="ru-RU"/>
        </w:rPr>
        <w:t>Факторы влияющие на КПД солнечной батареи</w:t>
      </w:r>
      <w:bookmarkEnd w:id="19"/>
      <w:bookmarkEnd w:id="20"/>
      <w:bookmarkEnd w:id="21"/>
    </w:p>
    <w:p w:rsidR="00EF606C" w:rsidRDefault="008F26F5">
      <w:pPr>
        <w:pStyle w:val="Textbody"/>
        <w:rPr>
          <w:rFonts w:eastAsia="Microsoft YaHei"/>
          <w:szCs w:val="28"/>
          <w:lang w:val="ru-RU"/>
        </w:rPr>
      </w:pPr>
      <w:r>
        <w:rPr>
          <w:rFonts w:eastAsia="Microsoft YaHei"/>
          <w:szCs w:val="28"/>
          <w:lang w:val="ru-RU"/>
        </w:rPr>
        <w:t>КПД подразумевается отношение максимальной мощности которую возможно получить с единицы площади преобразователя к общей мощности солнечного излучения падающего на единицу рабочей поверхности преобразоват</w:t>
      </w:r>
      <w:r>
        <w:rPr>
          <w:rFonts w:eastAsia="Microsoft YaHei"/>
          <w:szCs w:val="28"/>
          <w:lang w:val="ru-RU"/>
        </w:rPr>
        <w:t>еля под углом  90 градусов, выражается в процентах.</w:t>
      </w:r>
    </w:p>
    <w:p w:rsidR="00EF606C" w:rsidRDefault="00EF606C">
      <w:pPr>
        <w:pStyle w:val="Textbody"/>
        <w:rPr>
          <w:rFonts w:eastAsia="Microsoft YaHei"/>
          <w:szCs w:val="28"/>
          <w:lang w:val="ru-RU"/>
        </w:rPr>
      </w:pPr>
    </w:p>
    <w:p w:rsidR="00EF606C" w:rsidRDefault="008F26F5">
      <w:pPr>
        <w:pStyle w:val="Textbody"/>
        <w:rPr>
          <w:szCs w:val="28"/>
          <w:lang w:val="ru-RU"/>
        </w:rPr>
      </w:pPr>
      <w:r>
        <w:rPr>
          <w:rFonts w:eastAsia="Microsoft YaHei"/>
          <w:szCs w:val="28"/>
          <w:lang w:val="ru-RU"/>
        </w:rPr>
        <w:t>Для создания в полупроводнике пары электрон- дырка фотону требуется определённая энергия, которая в кремнии равна 1,2 эВ, что соответствует длине волны 1488 нм. Фотоны большей длины волны (меньшей энерги</w:t>
      </w:r>
      <w:r>
        <w:rPr>
          <w:rFonts w:eastAsia="Microsoft YaHei"/>
          <w:szCs w:val="28"/>
          <w:lang w:val="ru-RU"/>
        </w:rPr>
        <w:t xml:space="preserve">и) не имеют достаточного количества энергии и бесполезны, а фотоны меньшей длины волны способны создавать пары электрон- дырка, но в этом случае уменьшается КПД, так как избыток энергии фотона рассеивается в виде тепла. Теоретически, КПД солнечной батареи </w:t>
      </w:r>
      <w:r>
        <w:rPr>
          <w:rFonts w:eastAsia="Microsoft YaHei"/>
          <w:szCs w:val="28"/>
          <w:lang w:val="ru-RU"/>
        </w:rPr>
        <w:t>должен составлять примерно 22-23%, но при этом считается, что используют все пары электрон- дырка, образовавшиеся в материале под действием света. Однако, реальные преобразователи имеют гораздо меньший КПД, это связано с факторами, обусловленными несоверше</w:t>
      </w:r>
      <w:r>
        <w:rPr>
          <w:rFonts w:eastAsia="Microsoft YaHei"/>
          <w:szCs w:val="28"/>
          <w:lang w:val="ru-RU"/>
        </w:rPr>
        <w:t>нством приборов, и с факторами, обусловленными условиями эксплуатации.</w:t>
      </w:r>
    </w:p>
    <w:p w:rsidR="00EF606C" w:rsidRDefault="008F26F5">
      <w:pPr>
        <w:pStyle w:val="3"/>
        <w:rPr>
          <w:color w:val="000000"/>
          <w:lang w:val="ru-RU"/>
        </w:rPr>
      </w:pPr>
      <w:bookmarkStart w:id="22" w:name="_Toc442912265"/>
      <w:bookmarkStart w:id="23" w:name="_Toc443243637"/>
      <w:bookmarkStart w:id="24" w:name="_Toc443595996"/>
      <w:r>
        <w:rPr>
          <w:color w:val="000000"/>
          <w:lang w:val="ru-RU"/>
        </w:rPr>
        <w:lastRenderedPageBreak/>
        <w:t>3.6.1. Факторы связанные с несовершенством приборов</w:t>
      </w:r>
      <w:bookmarkEnd w:id="22"/>
      <w:bookmarkEnd w:id="23"/>
      <w:bookmarkEnd w:id="24"/>
    </w:p>
    <w:p w:rsidR="00EF606C" w:rsidRDefault="008F26F5">
      <w:pPr>
        <w:pStyle w:val="Textbody"/>
        <w:rPr>
          <w:rFonts w:eastAsia="Microsoft YaHei"/>
          <w:szCs w:val="28"/>
          <w:lang w:val="ru-RU"/>
        </w:rPr>
      </w:pPr>
      <w:r>
        <w:rPr>
          <w:rFonts w:eastAsia="Microsoft YaHei"/>
          <w:szCs w:val="28"/>
          <w:lang w:val="ru-RU"/>
        </w:rPr>
        <w:t>Энергия фотонов, которая внутри полупроводника преобразуется в потенциальную энергию, является полезной, однако часть энергии бесполе</w:t>
      </w:r>
      <w:r>
        <w:rPr>
          <w:rFonts w:eastAsia="Microsoft YaHei"/>
          <w:szCs w:val="28"/>
          <w:lang w:val="ru-RU"/>
        </w:rPr>
        <w:t>зно рассеивается в пространстве в виде тепла.</w:t>
      </w:r>
    </w:p>
    <w:p w:rsidR="00EF606C" w:rsidRDefault="008F26F5">
      <w:pPr>
        <w:pStyle w:val="Textbody"/>
        <w:rPr>
          <w:rFonts w:eastAsia="Microsoft YaHei"/>
          <w:szCs w:val="28"/>
          <w:lang w:val="ru-RU"/>
        </w:rPr>
      </w:pPr>
      <w:r>
        <w:rPr>
          <w:rFonts w:eastAsia="Microsoft YaHei"/>
          <w:szCs w:val="28"/>
          <w:lang w:val="ru-RU"/>
        </w:rPr>
        <w:t>Какие бывают потери в фотоэлектрическом преобразователе:</w:t>
      </w:r>
    </w:p>
    <w:p w:rsidR="00EF606C" w:rsidRDefault="008F26F5">
      <w:pPr>
        <w:pStyle w:val="Textbody"/>
        <w:rPr>
          <w:rFonts w:eastAsia="Microsoft YaHei"/>
          <w:szCs w:val="28"/>
          <w:lang w:val="ru-RU"/>
        </w:rPr>
      </w:pPr>
      <w:r>
        <w:rPr>
          <w:rFonts w:eastAsia="Microsoft YaHei"/>
          <w:szCs w:val="28"/>
          <w:lang w:val="ru-RU"/>
        </w:rPr>
        <w:t>Световые потери происходят из- за: 1) отражения падающего излучения о поверхности преобразователя; 2) фотоэлектрически</w:t>
      </w:r>
      <w:r>
        <w:rPr>
          <w:rFonts w:eastAsia="Microsoft YaHei"/>
          <w:szCs w:val="28"/>
          <w:lang w:val="ru-RU"/>
        </w:rPr>
        <w:t xml:space="preserve"> неактивного поглощения фотонов, то есть поглощения фотонов без образования пары электрон- дырка; 3)прохождения некоторого количества фотонов до заднего электрода и поглощения в нем.</w:t>
      </w:r>
    </w:p>
    <w:p w:rsidR="00EF606C" w:rsidRDefault="008F26F5">
      <w:pPr>
        <w:pStyle w:val="Textbody"/>
        <w:rPr>
          <w:rFonts w:eastAsia="Microsoft YaHei"/>
          <w:szCs w:val="28"/>
          <w:lang w:val="ru-RU"/>
        </w:rPr>
      </w:pPr>
      <w:r>
        <w:rPr>
          <w:rFonts w:eastAsia="Microsoft YaHei"/>
          <w:szCs w:val="28"/>
          <w:lang w:val="ru-RU"/>
        </w:rPr>
        <w:t>Потери энергии электронов и дырок при движении в преобразователе происход</w:t>
      </w:r>
      <w:r>
        <w:rPr>
          <w:rFonts w:eastAsia="Microsoft YaHei"/>
          <w:szCs w:val="28"/>
          <w:lang w:val="ru-RU"/>
        </w:rPr>
        <w:t>ят из-за: 1) рекомбинации некоторых пар электрон-дырка, тогда энергия переходит в кристаллическую решётку; 2) утечки фотоэлектронов и фотодырок через шунтирующее сопротивление; 3) потери энергии при столкновении с атомами решётки; 4) прохождение фотоэлектр</w:t>
      </w:r>
      <w:r>
        <w:rPr>
          <w:rFonts w:eastAsia="Microsoft YaHei"/>
          <w:szCs w:val="28"/>
          <w:lang w:val="ru-RU"/>
        </w:rPr>
        <w:t>онов и фотодырок через последовательное сопротивление преобразователя).</w:t>
      </w:r>
    </w:p>
    <w:p w:rsidR="00EF606C" w:rsidRDefault="00EF606C">
      <w:pPr>
        <w:pStyle w:val="Textbody"/>
        <w:rPr>
          <w:szCs w:val="28"/>
          <w:lang w:val="ru-RU"/>
        </w:rPr>
      </w:pPr>
    </w:p>
    <w:p w:rsidR="00EF606C" w:rsidRDefault="008F26F5">
      <w:pPr>
        <w:pStyle w:val="3"/>
        <w:rPr>
          <w:color w:val="000000"/>
          <w:lang w:val="ru-RU"/>
        </w:rPr>
      </w:pPr>
      <w:bookmarkStart w:id="25" w:name="_Toc442912266"/>
      <w:bookmarkStart w:id="26" w:name="_Toc443243638"/>
      <w:bookmarkStart w:id="27" w:name="_Toc443595997"/>
      <w:r>
        <w:rPr>
          <w:color w:val="000000"/>
          <w:lang w:val="ru-RU"/>
        </w:rPr>
        <w:t>3.6.2. Факторы связанные с условиями использования</w:t>
      </w:r>
      <w:bookmarkEnd w:id="25"/>
      <w:bookmarkEnd w:id="26"/>
      <w:bookmarkEnd w:id="27"/>
    </w:p>
    <w:p w:rsidR="00EF606C" w:rsidRDefault="008F26F5">
      <w:pPr>
        <w:pStyle w:val="Textbody"/>
        <w:rPr>
          <w:rFonts w:eastAsia="Microsoft YaHei"/>
          <w:szCs w:val="28"/>
          <w:lang w:val="ru-RU"/>
        </w:rPr>
      </w:pPr>
      <w:r>
        <w:rPr>
          <w:rFonts w:eastAsia="Microsoft YaHei"/>
          <w:szCs w:val="28"/>
          <w:lang w:val="ru-RU"/>
        </w:rPr>
        <w:t>1.Угол наклона</w:t>
      </w:r>
    </w:p>
    <w:p w:rsidR="00EF606C" w:rsidRDefault="008F26F5">
      <w:pPr>
        <w:pStyle w:val="Textbody"/>
        <w:rPr>
          <w:rFonts w:eastAsia="Microsoft YaHei"/>
          <w:szCs w:val="28"/>
          <w:lang w:val="ru-RU"/>
        </w:rPr>
      </w:pPr>
      <w:r>
        <w:rPr>
          <w:rFonts w:eastAsia="Microsoft YaHei"/>
          <w:szCs w:val="28"/>
          <w:lang w:val="ru-RU"/>
        </w:rPr>
        <w:t>Высота и угол наклона солнечных батарей влияет на количество полученного света за день, за год.</w:t>
      </w:r>
    </w:p>
    <w:p w:rsidR="00EF606C" w:rsidRDefault="008F26F5">
      <w:pPr>
        <w:pStyle w:val="Textbody"/>
        <w:rPr>
          <w:rFonts w:eastAsia="Microsoft YaHei"/>
          <w:szCs w:val="28"/>
          <w:lang w:val="ru-RU"/>
        </w:rPr>
      </w:pPr>
      <w:r>
        <w:rPr>
          <w:rFonts w:eastAsia="Microsoft YaHei"/>
          <w:szCs w:val="28"/>
          <w:lang w:val="ru-RU"/>
        </w:rPr>
        <w:t>2.Температура</w:t>
      </w:r>
    </w:p>
    <w:p w:rsidR="00EF606C" w:rsidRDefault="008F26F5">
      <w:pPr>
        <w:pStyle w:val="Textbody"/>
        <w:rPr>
          <w:rFonts w:eastAsia="Microsoft YaHei"/>
          <w:szCs w:val="28"/>
          <w:lang w:val="ru-RU"/>
        </w:rPr>
      </w:pPr>
      <w:r>
        <w:rPr>
          <w:rFonts w:eastAsia="Microsoft YaHei"/>
          <w:szCs w:val="28"/>
          <w:lang w:val="ru-RU"/>
        </w:rPr>
        <w:t>Большин</w:t>
      </w:r>
      <w:r>
        <w:rPr>
          <w:rFonts w:eastAsia="Microsoft YaHei"/>
          <w:szCs w:val="28"/>
          <w:lang w:val="ru-RU"/>
        </w:rPr>
        <w:t>ство солнечных батарей нагреваются при эксплуатации, что влияет на их КПД, поэтому солнечным батареям необходимо охлаждение.</w:t>
      </w:r>
    </w:p>
    <w:p w:rsidR="00EF606C" w:rsidRDefault="008F26F5">
      <w:pPr>
        <w:pStyle w:val="Textbody"/>
        <w:rPr>
          <w:rFonts w:eastAsia="Microsoft YaHei"/>
          <w:szCs w:val="28"/>
          <w:lang w:val="ru-RU"/>
        </w:rPr>
      </w:pPr>
      <w:r>
        <w:rPr>
          <w:rFonts w:eastAsia="Microsoft YaHei"/>
          <w:szCs w:val="28"/>
          <w:lang w:val="ru-RU"/>
        </w:rPr>
        <w:lastRenderedPageBreak/>
        <w:t>3.Тень</w:t>
      </w:r>
    </w:p>
    <w:p w:rsidR="00EF606C" w:rsidRDefault="008F26F5">
      <w:pPr>
        <w:pStyle w:val="Textbody"/>
        <w:rPr>
          <w:rFonts w:eastAsia="Microsoft YaHei"/>
          <w:szCs w:val="28"/>
          <w:lang w:val="ru-RU"/>
        </w:rPr>
      </w:pPr>
      <w:r>
        <w:rPr>
          <w:rFonts w:eastAsia="Microsoft YaHei"/>
          <w:szCs w:val="28"/>
          <w:lang w:val="ru-RU"/>
        </w:rPr>
        <w:t>Даже небольшое количество тени на одной панели может закрыть производство электроэнергии на всех других элементах.</w:t>
      </w:r>
    </w:p>
    <w:p w:rsidR="00EF606C" w:rsidRDefault="00EF606C">
      <w:pPr>
        <w:pStyle w:val="Textbody"/>
        <w:rPr>
          <w:szCs w:val="28"/>
          <w:lang w:val="ru-RU"/>
        </w:rPr>
      </w:pPr>
    </w:p>
    <w:p w:rsidR="00EF606C" w:rsidRDefault="008F26F5">
      <w:pPr>
        <w:pStyle w:val="2"/>
        <w:numPr>
          <w:ilvl w:val="1"/>
          <w:numId w:val="42"/>
        </w:numPr>
        <w:rPr>
          <w:color w:val="000000"/>
        </w:rPr>
      </w:pPr>
      <w:bookmarkStart w:id="28" w:name="_Toc442912267"/>
      <w:bookmarkStart w:id="29" w:name="_Toc443243639"/>
      <w:bookmarkStart w:id="30" w:name="_Toc443595998"/>
      <w:r>
        <w:rPr>
          <w:color w:val="000000"/>
        </w:rPr>
        <w:t>Типы сол</w:t>
      </w:r>
      <w:r>
        <w:rPr>
          <w:color w:val="000000"/>
        </w:rPr>
        <w:t>нечных батарей</w:t>
      </w:r>
      <w:bookmarkEnd w:id="28"/>
      <w:bookmarkEnd w:id="29"/>
      <w:bookmarkEnd w:id="30"/>
    </w:p>
    <w:p w:rsidR="00EF606C" w:rsidRDefault="008F26F5">
      <w:pPr>
        <w:pStyle w:val="Textbody"/>
        <w:rPr>
          <w:szCs w:val="28"/>
          <w:lang w:val="ru-RU"/>
        </w:rPr>
      </w:pPr>
      <w:r>
        <w:rPr>
          <w:szCs w:val="28"/>
          <w:lang w:val="ru-RU"/>
        </w:rPr>
        <w:t>Существуют три типа солнечных батарей:</w:t>
      </w:r>
    </w:p>
    <w:p w:rsidR="00EF606C" w:rsidRDefault="008F26F5">
      <w:pPr>
        <w:pStyle w:val="3"/>
        <w:numPr>
          <w:ilvl w:val="2"/>
          <w:numId w:val="42"/>
        </w:numPr>
        <w:rPr>
          <w:color w:val="000000"/>
          <w:lang w:val="ru-RU"/>
        </w:rPr>
      </w:pPr>
      <w:bookmarkStart w:id="31" w:name="_Toc443243640"/>
      <w:bookmarkStart w:id="32" w:name="_Toc443595999"/>
      <w:r>
        <w:rPr>
          <w:color w:val="000000"/>
          <w:lang w:val="ru-RU"/>
        </w:rPr>
        <w:t>Из монокрисаллического кремния</w:t>
      </w:r>
      <w:bookmarkEnd w:id="31"/>
      <w:bookmarkEnd w:id="32"/>
    </w:p>
    <w:p w:rsidR="00EF606C" w:rsidRDefault="008F26F5">
      <w:pPr>
        <w:pStyle w:val="Textbody"/>
        <w:rPr>
          <w:lang w:val="ru-RU"/>
        </w:rPr>
      </w:pPr>
      <w:r>
        <w:rPr>
          <w:lang w:val="ru-RU"/>
        </w:rPr>
        <w:t>Технология: кремний очищают от различных примесей, потом выращивают кремниевый кристалл, далее разрезают на тонкие пластинки и легируют их примесями акцептного и донорного</w:t>
      </w:r>
      <w:r>
        <w:rPr>
          <w:lang w:val="ru-RU"/>
        </w:rPr>
        <w:t xml:space="preserve"> типа.</w:t>
      </w:r>
    </w:p>
    <w:p w:rsidR="00EF606C" w:rsidRDefault="008F26F5">
      <w:pPr>
        <w:pStyle w:val="Textbody"/>
        <w:rPr>
          <w:szCs w:val="28"/>
          <w:lang w:val="ru-RU"/>
        </w:rPr>
      </w:pPr>
      <w:r>
        <w:rPr>
          <w:szCs w:val="28"/>
          <w:lang w:val="ru-RU"/>
        </w:rPr>
        <w:t>+) Создаются из высокосортного (чистого) кремния, обладают строгой кристаллографической структурой, поэтому имеют наибольший срок службы (30 лет и более) и КПД 17-22%.</w:t>
      </w:r>
    </w:p>
    <w:p w:rsidR="00EF606C" w:rsidRDefault="008F26F5">
      <w:pPr>
        <w:pStyle w:val="Textbody"/>
        <w:rPr>
          <w:szCs w:val="28"/>
          <w:lang w:val="ru-RU"/>
        </w:rPr>
      </w:pPr>
      <w:r>
        <w:rPr>
          <w:szCs w:val="28"/>
          <w:lang w:val="ru-RU"/>
        </w:rPr>
        <w:t>-) Являются самыми дорогими</w:t>
      </w:r>
    </w:p>
    <w:p w:rsidR="00EF606C" w:rsidRDefault="008F26F5">
      <w:pPr>
        <w:pStyle w:val="3"/>
        <w:rPr>
          <w:color w:val="000000"/>
          <w:lang w:val="ru-RU"/>
        </w:rPr>
      </w:pPr>
      <w:bookmarkStart w:id="33" w:name="_Toc443243641"/>
      <w:bookmarkStart w:id="34" w:name="_Toc443596000"/>
      <w:r>
        <w:rPr>
          <w:color w:val="000000"/>
          <w:lang w:val="ru-RU"/>
        </w:rPr>
        <w:t>3.7.2. Из поликристаллического кремния</w:t>
      </w:r>
      <w:bookmarkEnd w:id="33"/>
      <w:bookmarkEnd w:id="34"/>
    </w:p>
    <w:p w:rsidR="00EF606C" w:rsidRDefault="008F26F5">
      <w:pPr>
        <w:pStyle w:val="Textbody"/>
        <w:rPr>
          <w:szCs w:val="28"/>
          <w:lang w:val="ru-RU"/>
        </w:rPr>
      </w:pPr>
      <w:r>
        <w:rPr>
          <w:szCs w:val="28"/>
          <w:lang w:val="ru-RU"/>
        </w:rPr>
        <w:t>Технология: кремний очищают от различных примесей, а потом разрезают на тонкие пластинки, в которые легируют примесями акцептного и донорного типа.</w:t>
      </w:r>
    </w:p>
    <w:p w:rsidR="00EF606C" w:rsidRDefault="008F26F5">
      <w:pPr>
        <w:pStyle w:val="Textbody"/>
        <w:rPr>
          <w:szCs w:val="28"/>
          <w:lang w:val="ru-RU"/>
        </w:rPr>
      </w:pPr>
      <w:r>
        <w:rPr>
          <w:szCs w:val="28"/>
          <w:lang w:val="ru-RU"/>
        </w:rPr>
        <w:t>+) Являются более дешёвыми чем из монокристаллического кремния, срок службы 20 лет и более.</w:t>
      </w:r>
    </w:p>
    <w:p w:rsidR="00EF606C" w:rsidRDefault="008F26F5">
      <w:pPr>
        <w:pStyle w:val="Textbody"/>
        <w:rPr>
          <w:szCs w:val="28"/>
          <w:lang w:val="ru-RU"/>
        </w:rPr>
      </w:pPr>
      <w:r>
        <w:rPr>
          <w:szCs w:val="28"/>
          <w:lang w:val="ru-RU"/>
        </w:rPr>
        <w:t xml:space="preserve">-) КПД ниже чем </w:t>
      </w:r>
      <w:r>
        <w:rPr>
          <w:szCs w:val="28"/>
          <w:lang w:val="ru-RU"/>
        </w:rPr>
        <w:t>у монокристалличесих солнечных батарей 14-18%</w:t>
      </w:r>
    </w:p>
    <w:p w:rsidR="00EF606C" w:rsidRDefault="008F26F5">
      <w:pPr>
        <w:pStyle w:val="3"/>
        <w:rPr>
          <w:color w:val="000000"/>
          <w:lang w:val="ru-RU"/>
        </w:rPr>
      </w:pPr>
      <w:bookmarkStart w:id="35" w:name="_Toc443243642"/>
      <w:bookmarkStart w:id="36" w:name="_Toc443596001"/>
      <w:r>
        <w:rPr>
          <w:color w:val="000000"/>
          <w:lang w:val="ru-RU"/>
        </w:rPr>
        <w:t>3.7.3. На основе аморфного кремния</w:t>
      </w:r>
      <w:bookmarkEnd w:id="35"/>
      <w:bookmarkEnd w:id="36"/>
    </w:p>
    <w:p w:rsidR="00EF606C" w:rsidRDefault="008F26F5">
      <w:pPr>
        <w:pStyle w:val="Textbody"/>
        <w:rPr>
          <w:szCs w:val="28"/>
          <w:lang w:val="ru-RU"/>
        </w:rPr>
      </w:pPr>
      <w:r>
        <w:rPr>
          <w:szCs w:val="28"/>
          <w:lang w:val="ru-RU"/>
        </w:rPr>
        <w:lastRenderedPageBreak/>
        <w:t>Технология: на материал подложки тонким слоем наносится силан или кремневодород.</w:t>
      </w:r>
    </w:p>
    <w:p w:rsidR="00EF606C" w:rsidRDefault="008F26F5">
      <w:pPr>
        <w:pStyle w:val="Textbody"/>
        <w:rPr>
          <w:szCs w:val="28"/>
          <w:lang w:val="ru-RU"/>
        </w:rPr>
      </w:pPr>
      <w:r>
        <w:rPr>
          <w:szCs w:val="28"/>
          <w:lang w:val="ru-RU"/>
        </w:rPr>
        <w:t>+) Низкая стоимость, повышенная гибкость, срок службы 20 лет</w:t>
      </w:r>
    </w:p>
    <w:p w:rsidR="00EF606C" w:rsidRDefault="008F26F5">
      <w:pPr>
        <w:pStyle w:val="Textbody"/>
        <w:rPr>
          <w:szCs w:val="28"/>
          <w:lang w:val="ru-RU"/>
        </w:rPr>
      </w:pPr>
      <w:r>
        <w:rPr>
          <w:szCs w:val="28"/>
          <w:lang w:val="ru-RU"/>
        </w:rPr>
        <w:t>-) Низкий КПД (5-6%)</w:t>
      </w:r>
      <w:bookmarkStart w:id="37" w:name="_Toc442912268"/>
    </w:p>
    <w:bookmarkEnd w:id="37"/>
    <w:sectPr w:rsidR="00EF606C">
      <w:footerReference w:type="default" r:id="rId8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26F5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8F26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altName w:val="Microsoft YaHei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6C" w:rsidRDefault="008F26F5">
    <w:pPr>
      <w:pStyle w:val="af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EF606C" w:rsidRDefault="00EF606C">
    <w:pPr>
      <w:pStyle w:val="aff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26F5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8F26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7878F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FE6884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0000002"/>
    <w:multiLevelType w:val="multilevel"/>
    <w:tmpl w:val="FE6884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0000003"/>
    <w:multiLevelType w:val="multilevel"/>
    <w:tmpl w:val="8830167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00000004"/>
    <w:multiLevelType w:val="hybridMultilevel"/>
    <w:tmpl w:val="2362EB62"/>
    <w:lvl w:ilvl="0" w:tplc="3CE68FD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379A8D6E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6">
    <w:nsid w:val="00000006"/>
    <w:multiLevelType w:val="multilevel"/>
    <w:tmpl w:val="3A20503E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00000007"/>
    <w:multiLevelType w:val="hybridMultilevel"/>
    <w:tmpl w:val="DABA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C9623922"/>
    <w:lvl w:ilvl="0" w:tplc="05A27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75D85FCC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0000000A"/>
    <w:multiLevelType w:val="multilevel"/>
    <w:tmpl w:val="7856E58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>
    <w:nsid w:val="0000000B"/>
    <w:multiLevelType w:val="hybridMultilevel"/>
    <w:tmpl w:val="0EA4F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A70E488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000000D"/>
    <w:multiLevelType w:val="hybridMultilevel"/>
    <w:tmpl w:val="7CF0A3FE"/>
    <w:lvl w:ilvl="0" w:tplc="E902B6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D3004022"/>
    <w:lvl w:ilvl="0" w:tplc="788E4F94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881A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E116C0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00000011"/>
    <w:multiLevelType w:val="multilevel"/>
    <w:tmpl w:val="ACC44AE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00000012"/>
    <w:multiLevelType w:val="hybridMultilevel"/>
    <w:tmpl w:val="EC3EBC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10E81A3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0">
    <w:nsid w:val="00000014"/>
    <w:multiLevelType w:val="hybridMultilevel"/>
    <w:tmpl w:val="5C06C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09C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62ACF996"/>
    <w:lvl w:ilvl="0" w:tplc="693CA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0000017"/>
    <w:multiLevelType w:val="hybridMultilevel"/>
    <w:tmpl w:val="4964EFAC"/>
    <w:lvl w:ilvl="0" w:tplc="CD747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E406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427E6EFC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>
    <w:nsid w:val="0000001A"/>
    <w:multiLevelType w:val="multilevel"/>
    <w:tmpl w:val="CE0A0C9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>
    <w:nsid w:val="0000001B"/>
    <w:multiLevelType w:val="multilevel"/>
    <w:tmpl w:val="09B6D1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000001C"/>
    <w:multiLevelType w:val="multilevel"/>
    <w:tmpl w:val="BD146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0000001D"/>
    <w:multiLevelType w:val="hybridMultilevel"/>
    <w:tmpl w:val="5B0C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0000001F"/>
    <w:multiLevelType w:val="multilevel"/>
    <w:tmpl w:val="E7C28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00000020"/>
    <w:multiLevelType w:val="multilevel"/>
    <w:tmpl w:val="02FCE99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00000021"/>
    <w:multiLevelType w:val="multilevel"/>
    <w:tmpl w:val="A0043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00000022"/>
    <w:multiLevelType w:val="multilevel"/>
    <w:tmpl w:val="D3FCF870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>
    <w:nsid w:val="0000002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00000024"/>
    <w:multiLevelType w:val="multilevel"/>
    <w:tmpl w:val="EFD8BB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00000025"/>
    <w:multiLevelType w:val="hybridMultilevel"/>
    <w:tmpl w:val="93D6E57A"/>
    <w:lvl w:ilvl="0" w:tplc="D340B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B26EBB16"/>
    <w:lvl w:ilvl="0" w:tplc="1E526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6824BCB2"/>
    <w:lvl w:ilvl="0" w:tplc="7CFC2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multilevel"/>
    <w:tmpl w:val="34EA67C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00000029"/>
    <w:multiLevelType w:val="hybridMultilevel"/>
    <w:tmpl w:val="2794BB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17"/>
  </w:num>
  <w:num w:numId="4">
    <w:abstractNumId w:val="12"/>
  </w:num>
  <w:num w:numId="5">
    <w:abstractNumId w:val="40"/>
  </w:num>
  <w:num w:numId="6">
    <w:abstractNumId w:val="31"/>
  </w:num>
  <w:num w:numId="7">
    <w:abstractNumId w:val="3"/>
  </w:num>
  <w:num w:numId="8">
    <w:abstractNumId w:val="26"/>
  </w:num>
  <w:num w:numId="9">
    <w:abstractNumId w:val="6"/>
  </w:num>
  <w:num w:numId="10">
    <w:abstractNumId w:val="34"/>
  </w:num>
  <w:num w:numId="11">
    <w:abstractNumId w:val="25"/>
  </w:num>
  <w:num w:numId="12">
    <w:abstractNumId w:val="9"/>
  </w:num>
  <w:num w:numId="13">
    <w:abstractNumId w:val="11"/>
  </w:num>
  <w:num w:numId="14">
    <w:abstractNumId w:val="0"/>
  </w:num>
  <w:num w:numId="15">
    <w:abstractNumId w:val="29"/>
  </w:num>
  <w:num w:numId="16">
    <w:abstractNumId w:val="27"/>
  </w:num>
  <w:num w:numId="17">
    <w:abstractNumId w:val="7"/>
  </w:num>
  <w:num w:numId="18">
    <w:abstractNumId w:val="1"/>
  </w:num>
  <w:num w:numId="19">
    <w:abstractNumId w:val="16"/>
  </w:num>
  <w:num w:numId="20">
    <w:abstractNumId w:val="30"/>
  </w:num>
  <w:num w:numId="21">
    <w:abstractNumId w:val="35"/>
  </w:num>
  <w:num w:numId="22">
    <w:abstractNumId w:val="2"/>
  </w:num>
  <w:num w:numId="23">
    <w:abstractNumId w:val="36"/>
  </w:num>
  <w:num w:numId="24">
    <w:abstractNumId w:val="13"/>
  </w:num>
  <w:num w:numId="25">
    <w:abstractNumId w:val="4"/>
  </w:num>
  <w:num w:numId="26">
    <w:abstractNumId w:val="20"/>
  </w:num>
  <w:num w:numId="27">
    <w:abstractNumId w:val="14"/>
  </w:num>
  <w:num w:numId="28">
    <w:abstractNumId w:val="32"/>
  </w:num>
  <w:num w:numId="29">
    <w:abstractNumId w:val="28"/>
  </w:num>
  <w:num w:numId="30">
    <w:abstractNumId w:val="39"/>
  </w:num>
  <w:num w:numId="31">
    <w:abstractNumId w:val="37"/>
  </w:num>
  <w:num w:numId="32">
    <w:abstractNumId w:val="15"/>
  </w:num>
  <w:num w:numId="33">
    <w:abstractNumId w:val="24"/>
  </w:num>
  <w:num w:numId="34">
    <w:abstractNumId w:val="23"/>
  </w:num>
  <w:num w:numId="35">
    <w:abstractNumId w:val="8"/>
  </w:num>
  <w:num w:numId="36">
    <w:abstractNumId w:val="22"/>
  </w:num>
  <w:num w:numId="37">
    <w:abstractNumId w:val="19"/>
  </w:num>
  <w:num w:numId="38">
    <w:abstractNumId w:val="21"/>
  </w:num>
  <w:num w:numId="39">
    <w:abstractNumId w:val="18"/>
  </w:num>
  <w:num w:numId="40">
    <w:abstractNumId w:val="41"/>
  </w:num>
  <w:num w:numId="41">
    <w:abstractNumId w:val="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6C"/>
    <w:rsid w:val="008F26F5"/>
    <w:rsid w:val="00E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40" w:after="24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qFormat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qFormat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qFormat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qFormat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Заголовок"/>
    <w:basedOn w:val="Standard"/>
    <w:next w:val="Textbody"/>
    <w:pPr>
      <w:keepNext/>
      <w:spacing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Pr>
      <w:rFonts w:ascii="Times New Roman" w:hAnsi="Times New Roman"/>
      <w:color w:val="000000"/>
      <w:sz w:val="28"/>
    </w:rPr>
  </w:style>
  <w:style w:type="paragraph" w:styleId="a4">
    <w:name w:val="Subtitle"/>
    <w:basedOn w:val="a"/>
    <w:next w:val="a"/>
    <w:link w:val="a5"/>
    <w:uiPriority w:val="11"/>
    <w:qFormat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6">
    <w:name w:val="List"/>
    <w:basedOn w:val="Textbody"/>
  </w:style>
  <w:style w:type="paragraph" w:styleId="a7">
    <w:name w:val="caption"/>
    <w:basedOn w:val="a"/>
    <w:next w:val="a"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ContentsHeading">
    <w:name w:val="Contents Heading"/>
    <w:basedOn w:val="a3"/>
    <w:pPr>
      <w:suppressLineNumbers/>
    </w:pPr>
    <w:rPr>
      <w:b/>
      <w:bCs/>
      <w:sz w:val="32"/>
      <w:szCs w:val="32"/>
    </w:r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8">
    <w:name w:val="Emphasis"/>
    <w:uiPriority w:val="20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9">
    <w:name w:val="Hyperlink"/>
    <w:basedOn w:val="a0"/>
    <w:uiPriority w:val="99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  <w:style w:type="paragraph" w:styleId="ab">
    <w:name w:val="Balloon Text"/>
    <w:basedOn w:val="a"/>
    <w:link w:val="ac"/>
    <w:uiPriority w:val="99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/>
      <w:sz w:val="16"/>
      <w:szCs w:val="14"/>
    </w:rPr>
  </w:style>
  <w:style w:type="character" w:customStyle="1" w:styleId="apple-converted-space">
    <w:name w:val="apple-converted-space"/>
    <w:basedOn w:val="a0"/>
  </w:style>
  <w:style w:type="paragraph" w:styleId="ad">
    <w:name w:val="No Spacing"/>
    <w:basedOn w:val="a"/>
    <w:link w:val="ae"/>
    <w:uiPriority w:val="1"/>
    <w:qFormat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prop-value">
    <w:name w:val="prop-value"/>
    <w:basedOn w:val="a0"/>
  </w:style>
  <w:style w:type="paragraph" w:styleId="21">
    <w:name w:val="toc 2"/>
    <w:basedOn w:val="a"/>
    <w:next w:val="a"/>
    <w:uiPriority w:val="39"/>
    <w:pPr>
      <w:spacing w:after="100"/>
      <w:ind w:left="240"/>
    </w:pPr>
    <w:rPr>
      <w:szCs w:val="21"/>
    </w:rPr>
  </w:style>
  <w:style w:type="paragraph" w:styleId="11">
    <w:name w:val="toc 1"/>
    <w:basedOn w:val="a"/>
    <w:next w:val="a"/>
    <w:uiPriority w:val="39"/>
    <w:pPr>
      <w:spacing w:after="100"/>
    </w:pPr>
    <w:rPr>
      <w:szCs w:val="21"/>
    </w:rPr>
  </w:style>
  <w:style w:type="paragraph" w:styleId="31">
    <w:name w:val="toc 3"/>
    <w:basedOn w:val="a"/>
    <w:next w:val="a"/>
    <w:uiPriority w:val="39"/>
    <w:pPr>
      <w:spacing w:after="100"/>
      <w:ind w:left="480"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Quote"/>
    <w:basedOn w:val="a"/>
    <w:next w:val="a"/>
    <w:link w:val="af4"/>
    <w:uiPriority w:val="29"/>
    <w:qFormat/>
    <w:pPr>
      <w:spacing w:before="200" w:after="0"/>
      <w:ind w:left="360" w:right="360"/>
    </w:pPr>
    <w:rPr>
      <w:i/>
      <w:iCs/>
    </w:rPr>
  </w:style>
  <w:style w:type="character" w:customStyle="1" w:styleId="af4">
    <w:name w:val="Цитата Знак"/>
    <w:basedOn w:val="a0"/>
    <w:link w:val="af3"/>
    <w:uiPriority w:val="29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6">
    <w:name w:val="Выделенная цитата Знак"/>
    <w:basedOn w:val="a0"/>
    <w:link w:val="af5"/>
    <w:uiPriority w:val="30"/>
    <w:rPr>
      <w:b/>
      <w:bCs/>
      <w:i/>
      <w:iCs/>
    </w:rPr>
  </w:style>
  <w:style w:type="character" w:styleId="af7">
    <w:name w:val="Subtle Emphasis"/>
    <w:uiPriority w:val="19"/>
    <w:qFormat/>
    <w:rPr>
      <w:i/>
      <w:iCs/>
    </w:rPr>
  </w:style>
  <w:style w:type="character" w:styleId="af8">
    <w:name w:val="Intense Emphasis"/>
    <w:uiPriority w:val="21"/>
    <w:qFormat/>
    <w:rPr>
      <w:b/>
      <w:bCs/>
    </w:rPr>
  </w:style>
  <w:style w:type="character" w:styleId="af9">
    <w:name w:val="Subtle Reference"/>
    <w:uiPriority w:val="31"/>
    <w:qFormat/>
    <w:rPr>
      <w:smallCaps/>
    </w:rPr>
  </w:style>
  <w:style w:type="character" w:styleId="afa">
    <w:name w:val="Intense Reference"/>
    <w:uiPriority w:val="32"/>
    <w:qFormat/>
    <w:rPr>
      <w:smallCaps/>
      <w:spacing w:val="5"/>
      <w:u w:val="single"/>
    </w:rPr>
  </w:style>
  <w:style w:type="character" w:styleId="afb">
    <w:name w:val="Book Title"/>
    <w:uiPriority w:val="33"/>
    <w:qFormat/>
    <w:rPr>
      <w:i/>
      <w:iCs/>
      <w:smallCaps/>
      <w:spacing w:val="5"/>
    </w:rPr>
  </w:style>
  <w:style w:type="paragraph" w:styleId="afc">
    <w:name w:val="TOC Heading"/>
    <w:basedOn w:val="1"/>
    <w:next w:val="a"/>
    <w:uiPriority w:val="39"/>
    <w:qFormat/>
    <w:pPr>
      <w:outlineLvl w:val="9"/>
    </w:p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character" w:customStyle="1" w:styleId="ae">
    <w:name w:val="Без интервала Знак"/>
    <w:basedOn w:val="a0"/>
    <w:link w:val="ad"/>
    <w:uiPriority w:val="1"/>
  </w:style>
  <w:style w:type="paragraph" w:styleId="22">
    <w:name w:val="Body Text 2"/>
    <w:basedOn w:val="a"/>
    <w:link w:val="23"/>
    <w:pPr>
      <w:autoSpaceDE w:val="0"/>
      <w:autoSpaceDN w:val="0"/>
      <w:adjustRightInd w:val="0"/>
      <w:spacing w:before="35" w:after="0" w:line="240" w:lineRule="auto"/>
      <w:ind w:right="278"/>
    </w:pPr>
    <w:rPr>
      <w:rFonts w:ascii="Times New Roman" w:eastAsia="Times New Roman" w:hAnsi="Times New Roman" w:cs="Times New Roman"/>
      <w:sz w:val="24"/>
      <w:szCs w:val="18"/>
      <w:lang w:val="ru-RU" w:eastAsia="ru-RU" w:bidi="ar-SA"/>
    </w:rPr>
  </w:style>
  <w:style w:type="character" w:customStyle="1" w:styleId="23">
    <w:name w:val="Основной текст 2 Знак"/>
    <w:basedOn w:val="a0"/>
    <w:link w:val="22"/>
    <w:rPr>
      <w:rFonts w:ascii="Times New Roman" w:eastAsia="Times New Roman" w:hAnsi="Times New Roman" w:cs="Times New Roman"/>
      <w:sz w:val="24"/>
      <w:szCs w:val="18"/>
      <w:lang w:val="ru-RU" w:eastAsia="ru-RU" w:bidi="ar-SA"/>
    </w:rPr>
  </w:style>
  <w:style w:type="paragraph" w:customStyle="1" w:styleId="FR1">
    <w:name w:val="FR1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val="ru-RU" w:eastAsia="ru-RU" w:bidi="ar-SA"/>
    </w:rPr>
  </w:style>
  <w:style w:type="character" w:customStyle="1" w:styleId="curcityname">
    <w:name w:val="cur_city_name"/>
    <w:basedOn w:val="a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40" w:after="24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qFormat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qFormat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qFormat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qFormat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Заголовок"/>
    <w:basedOn w:val="Standard"/>
    <w:next w:val="Textbody"/>
    <w:pPr>
      <w:keepNext/>
      <w:spacing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Pr>
      <w:rFonts w:ascii="Times New Roman" w:hAnsi="Times New Roman"/>
      <w:color w:val="000000"/>
      <w:sz w:val="28"/>
    </w:rPr>
  </w:style>
  <w:style w:type="paragraph" w:styleId="a4">
    <w:name w:val="Subtitle"/>
    <w:basedOn w:val="a"/>
    <w:next w:val="a"/>
    <w:link w:val="a5"/>
    <w:uiPriority w:val="11"/>
    <w:qFormat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6">
    <w:name w:val="List"/>
    <w:basedOn w:val="Textbody"/>
  </w:style>
  <w:style w:type="paragraph" w:styleId="a7">
    <w:name w:val="caption"/>
    <w:basedOn w:val="a"/>
    <w:next w:val="a"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ContentsHeading">
    <w:name w:val="Contents Heading"/>
    <w:basedOn w:val="a3"/>
    <w:pPr>
      <w:suppressLineNumbers/>
    </w:pPr>
    <w:rPr>
      <w:b/>
      <w:bCs/>
      <w:sz w:val="32"/>
      <w:szCs w:val="32"/>
    </w:r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8">
    <w:name w:val="Emphasis"/>
    <w:uiPriority w:val="20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9">
    <w:name w:val="Hyperlink"/>
    <w:basedOn w:val="a0"/>
    <w:uiPriority w:val="99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  <w:style w:type="paragraph" w:styleId="ab">
    <w:name w:val="Balloon Text"/>
    <w:basedOn w:val="a"/>
    <w:link w:val="ac"/>
    <w:uiPriority w:val="99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/>
      <w:sz w:val="16"/>
      <w:szCs w:val="14"/>
    </w:rPr>
  </w:style>
  <w:style w:type="character" w:customStyle="1" w:styleId="apple-converted-space">
    <w:name w:val="apple-converted-space"/>
    <w:basedOn w:val="a0"/>
  </w:style>
  <w:style w:type="paragraph" w:styleId="ad">
    <w:name w:val="No Spacing"/>
    <w:basedOn w:val="a"/>
    <w:link w:val="ae"/>
    <w:uiPriority w:val="1"/>
    <w:qFormat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prop-value">
    <w:name w:val="prop-value"/>
    <w:basedOn w:val="a0"/>
  </w:style>
  <w:style w:type="paragraph" w:styleId="21">
    <w:name w:val="toc 2"/>
    <w:basedOn w:val="a"/>
    <w:next w:val="a"/>
    <w:uiPriority w:val="39"/>
    <w:pPr>
      <w:spacing w:after="100"/>
      <w:ind w:left="240"/>
    </w:pPr>
    <w:rPr>
      <w:szCs w:val="21"/>
    </w:rPr>
  </w:style>
  <w:style w:type="paragraph" w:styleId="11">
    <w:name w:val="toc 1"/>
    <w:basedOn w:val="a"/>
    <w:next w:val="a"/>
    <w:uiPriority w:val="39"/>
    <w:pPr>
      <w:spacing w:after="100"/>
    </w:pPr>
    <w:rPr>
      <w:szCs w:val="21"/>
    </w:rPr>
  </w:style>
  <w:style w:type="paragraph" w:styleId="31">
    <w:name w:val="toc 3"/>
    <w:basedOn w:val="a"/>
    <w:next w:val="a"/>
    <w:uiPriority w:val="39"/>
    <w:pPr>
      <w:spacing w:after="100"/>
      <w:ind w:left="480"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Quote"/>
    <w:basedOn w:val="a"/>
    <w:next w:val="a"/>
    <w:link w:val="af4"/>
    <w:uiPriority w:val="29"/>
    <w:qFormat/>
    <w:pPr>
      <w:spacing w:before="200" w:after="0"/>
      <w:ind w:left="360" w:right="360"/>
    </w:pPr>
    <w:rPr>
      <w:i/>
      <w:iCs/>
    </w:rPr>
  </w:style>
  <w:style w:type="character" w:customStyle="1" w:styleId="af4">
    <w:name w:val="Цитата Знак"/>
    <w:basedOn w:val="a0"/>
    <w:link w:val="af3"/>
    <w:uiPriority w:val="29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6">
    <w:name w:val="Выделенная цитата Знак"/>
    <w:basedOn w:val="a0"/>
    <w:link w:val="af5"/>
    <w:uiPriority w:val="30"/>
    <w:rPr>
      <w:b/>
      <w:bCs/>
      <w:i/>
      <w:iCs/>
    </w:rPr>
  </w:style>
  <w:style w:type="character" w:styleId="af7">
    <w:name w:val="Subtle Emphasis"/>
    <w:uiPriority w:val="19"/>
    <w:qFormat/>
    <w:rPr>
      <w:i/>
      <w:iCs/>
    </w:rPr>
  </w:style>
  <w:style w:type="character" w:styleId="af8">
    <w:name w:val="Intense Emphasis"/>
    <w:uiPriority w:val="21"/>
    <w:qFormat/>
    <w:rPr>
      <w:b/>
      <w:bCs/>
    </w:rPr>
  </w:style>
  <w:style w:type="character" w:styleId="af9">
    <w:name w:val="Subtle Reference"/>
    <w:uiPriority w:val="31"/>
    <w:qFormat/>
    <w:rPr>
      <w:smallCaps/>
    </w:rPr>
  </w:style>
  <w:style w:type="character" w:styleId="afa">
    <w:name w:val="Intense Reference"/>
    <w:uiPriority w:val="32"/>
    <w:qFormat/>
    <w:rPr>
      <w:smallCaps/>
      <w:spacing w:val="5"/>
      <w:u w:val="single"/>
    </w:rPr>
  </w:style>
  <w:style w:type="character" w:styleId="afb">
    <w:name w:val="Book Title"/>
    <w:uiPriority w:val="33"/>
    <w:qFormat/>
    <w:rPr>
      <w:i/>
      <w:iCs/>
      <w:smallCaps/>
      <w:spacing w:val="5"/>
    </w:rPr>
  </w:style>
  <w:style w:type="paragraph" w:styleId="afc">
    <w:name w:val="TOC Heading"/>
    <w:basedOn w:val="1"/>
    <w:next w:val="a"/>
    <w:uiPriority w:val="39"/>
    <w:qFormat/>
    <w:pPr>
      <w:outlineLvl w:val="9"/>
    </w:p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character" w:customStyle="1" w:styleId="ae">
    <w:name w:val="Без интервала Знак"/>
    <w:basedOn w:val="a0"/>
    <w:link w:val="ad"/>
    <w:uiPriority w:val="1"/>
  </w:style>
  <w:style w:type="paragraph" w:styleId="22">
    <w:name w:val="Body Text 2"/>
    <w:basedOn w:val="a"/>
    <w:link w:val="23"/>
    <w:pPr>
      <w:autoSpaceDE w:val="0"/>
      <w:autoSpaceDN w:val="0"/>
      <w:adjustRightInd w:val="0"/>
      <w:spacing w:before="35" w:after="0" w:line="240" w:lineRule="auto"/>
      <w:ind w:right="278"/>
    </w:pPr>
    <w:rPr>
      <w:rFonts w:ascii="Times New Roman" w:eastAsia="Times New Roman" w:hAnsi="Times New Roman" w:cs="Times New Roman"/>
      <w:sz w:val="24"/>
      <w:szCs w:val="18"/>
      <w:lang w:val="ru-RU" w:eastAsia="ru-RU" w:bidi="ar-SA"/>
    </w:rPr>
  </w:style>
  <w:style w:type="character" w:customStyle="1" w:styleId="23">
    <w:name w:val="Основной текст 2 Знак"/>
    <w:basedOn w:val="a0"/>
    <w:link w:val="22"/>
    <w:rPr>
      <w:rFonts w:ascii="Times New Roman" w:eastAsia="Times New Roman" w:hAnsi="Times New Roman" w:cs="Times New Roman"/>
      <w:sz w:val="24"/>
      <w:szCs w:val="18"/>
      <w:lang w:val="ru-RU" w:eastAsia="ru-RU" w:bidi="ar-SA"/>
    </w:rPr>
  </w:style>
  <w:style w:type="paragraph" w:customStyle="1" w:styleId="FR1">
    <w:name w:val="FR1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val="ru-RU" w:eastAsia="ru-RU" w:bidi="ar-SA"/>
    </w:rPr>
  </w:style>
  <w:style w:type="character" w:customStyle="1" w:styleId="curcityname">
    <w:name w:val="cur_city_name"/>
    <w:basedOn w:val="a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1256</Words>
  <Characters>7164</Characters>
  <Application>Microsoft Macintosh Word</Application>
  <DocSecurity>0</DocSecurity>
  <Lines>59</Lines>
  <Paragraphs>16</Paragraphs>
  <ScaleCrop>false</ScaleCrop>
  <Company>«Национальный исследовательский университет «Высшая школа экономики»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Вероника Молчанова</cp:lastModifiedBy>
  <cp:revision>2</cp:revision>
  <cp:lastPrinted>2016-02-10T22:13:00Z</cp:lastPrinted>
  <dcterms:created xsi:type="dcterms:W3CDTF">2018-01-17T18:04:00Z</dcterms:created>
  <dcterms:modified xsi:type="dcterms:W3CDTF">2018-01-17T18:04:00Z</dcterms:modified>
</cp:coreProperties>
</file>